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F0D" w:rsidRPr="00663944" w:rsidRDefault="004B4741" w:rsidP="000E086D">
      <w:pPr>
        <w:pBdr>
          <w:bottom w:val="single" w:sz="12" w:space="1" w:color="auto"/>
        </w:pBdr>
        <w:spacing w:line="264" w:lineRule="auto"/>
        <w:rPr>
          <w:rFonts w:ascii="Calibri" w:hAnsi="Calibri" w:cs="Arial"/>
          <w:b/>
          <w:sz w:val="28"/>
          <w:szCs w:val="28"/>
          <w:lang w:val="en-GB"/>
        </w:rPr>
      </w:pPr>
      <w:r>
        <w:rPr>
          <w:rFonts w:ascii="Calibri" w:hAnsi="Calibri" w:cs="Arial"/>
          <w:b/>
          <w:sz w:val="28"/>
          <w:szCs w:val="28"/>
          <w:lang w:val="en-GB"/>
        </w:rPr>
        <w:t>Appendix E.</w:t>
      </w:r>
      <w:r>
        <w:rPr>
          <w:rFonts w:ascii="Calibri" w:hAnsi="Calibri" w:cs="Arial"/>
          <w:b/>
          <w:sz w:val="28"/>
          <w:szCs w:val="28"/>
          <w:lang w:val="en-GB"/>
        </w:rPr>
        <w:tab/>
      </w:r>
      <w:r w:rsidR="000E086D" w:rsidRPr="00FC564B">
        <w:rPr>
          <w:rFonts w:ascii="Calibri" w:hAnsi="Calibri" w:cs="Arial"/>
          <w:b/>
          <w:sz w:val="28"/>
          <w:szCs w:val="28"/>
          <w:lang w:val="en-GB"/>
        </w:rPr>
        <w:t>Palestinian</w:t>
      </w:r>
      <w:r w:rsidR="00EC327E" w:rsidRPr="00663944">
        <w:rPr>
          <w:rFonts w:ascii="Calibri" w:hAnsi="Calibri" w:cs="Arial"/>
          <w:b/>
          <w:sz w:val="28"/>
          <w:szCs w:val="28"/>
          <w:lang w:val="en-GB"/>
        </w:rPr>
        <w:t xml:space="preserve"> </w:t>
      </w:r>
      <w:r w:rsidR="00AE6F0D" w:rsidRPr="00663944">
        <w:rPr>
          <w:rFonts w:ascii="Calibri" w:hAnsi="Calibri" w:cs="Arial"/>
          <w:b/>
          <w:sz w:val="28"/>
          <w:szCs w:val="28"/>
          <w:lang w:val="en-GB"/>
        </w:rPr>
        <w:t>MICS</w:t>
      </w:r>
      <w:r w:rsidR="000A456C" w:rsidRPr="00663944">
        <w:rPr>
          <w:rFonts w:ascii="Calibri" w:hAnsi="Calibri" w:cs="Arial"/>
          <w:b/>
          <w:sz w:val="28"/>
          <w:szCs w:val="28"/>
          <w:lang w:val="en-GB"/>
        </w:rPr>
        <w:t>5</w:t>
      </w:r>
      <w:r w:rsidR="00AE6F0D" w:rsidRPr="00663944">
        <w:rPr>
          <w:rFonts w:ascii="Calibri" w:hAnsi="Calibri" w:cs="Arial"/>
          <w:b/>
          <w:sz w:val="28"/>
          <w:szCs w:val="28"/>
          <w:lang w:val="en-GB"/>
        </w:rPr>
        <w:t xml:space="preserve"> Indicators: Numerators and Denominators</w:t>
      </w:r>
    </w:p>
    <w:p w:rsidR="00AE6F0D" w:rsidRPr="00663944" w:rsidRDefault="00AE6F0D" w:rsidP="00115386">
      <w:pPr>
        <w:spacing w:line="264" w:lineRule="auto"/>
        <w:rPr>
          <w:rFonts w:ascii="Calibri" w:hAnsi="Calibri" w:cs="Arial"/>
          <w:color w:val="FF0000"/>
          <w:szCs w:val="22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1E0"/>
      </w:tblPr>
      <w:tblGrid>
        <w:gridCol w:w="591"/>
        <w:gridCol w:w="20"/>
        <w:gridCol w:w="23"/>
        <w:gridCol w:w="3074"/>
        <w:gridCol w:w="1007"/>
        <w:gridCol w:w="4324"/>
        <w:gridCol w:w="3853"/>
        <w:gridCol w:w="54"/>
        <w:gridCol w:w="25"/>
        <w:gridCol w:w="1131"/>
      </w:tblGrid>
      <w:tr w:rsidR="00F719AB" w:rsidRPr="0058043D" w:rsidTr="00381D63">
        <w:trPr>
          <w:trHeight w:val="284"/>
          <w:tblHeader/>
          <w:jc w:val="center"/>
        </w:trPr>
        <w:tc>
          <w:tcPr>
            <w:tcW w:w="1315" w:type="pct"/>
            <w:gridSpan w:val="4"/>
            <w:tcBorders>
              <w:bottom w:val="single" w:sz="4" w:space="0" w:color="auto"/>
            </w:tcBorders>
            <w:shd w:val="clear" w:color="auto" w:fill="8DB3E2" w:themeFill="text2" w:themeFillTint="66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20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20"/>
                <w:lang w:val="en-GB"/>
              </w:rPr>
              <w:t>MICS INDICATOR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b/>
                <w:sz w:val="20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20"/>
                <w:lang w:val="en-GB"/>
              </w:rPr>
              <w:t>Module</w:t>
            </w:r>
            <w:r w:rsidRPr="0058043D">
              <w:rPr>
                <w:rStyle w:val="FootnoteReference"/>
                <w:rFonts w:asciiTheme="minorHAnsi" w:hAnsiTheme="minorHAnsi" w:cs="Arial"/>
                <w:b/>
                <w:sz w:val="20"/>
                <w:lang w:val="en-GB"/>
              </w:rPr>
              <w:footnoteReference w:id="1"/>
            </w:r>
          </w:p>
        </w:tc>
        <w:tc>
          <w:tcPr>
            <w:tcW w:w="1533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b/>
                <w:sz w:val="20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20"/>
                <w:lang w:val="en-GB"/>
              </w:rPr>
              <w:t>Numerator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b/>
                <w:sz w:val="20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20"/>
                <w:lang w:val="en-GB"/>
              </w:rPr>
              <w:t>Denominator</w:t>
            </w:r>
          </w:p>
        </w:tc>
        <w:tc>
          <w:tcPr>
            <w:tcW w:w="429" w:type="pct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b/>
                <w:sz w:val="20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20"/>
                <w:lang w:val="en-GB"/>
              </w:rPr>
              <w:t>MDG Indicator Reference</w:t>
            </w:r>
            <w:r w:rsidRPr="0058043D">
              <w:rPr>
                <w:rStyle w:val="FootnoteReference"/>
                <w:rFonts w:asciiTheme="minorHAnsi" w:hAnsiTheme="minorHAnsi" w:cs="Arial"/>
                <w:b/>
                <w:sz w:val="20"/>
                <w:lang w:val="en-GB"/>
              </w:rPr>
              <w:footnoteReference w:id="2"/>
            </w: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5000" w:type="pct"/>
            <w:gridSpan w:val="10"/>
            <w:shd w:val="clear" w:color="auto" w:fill="C6D9F1" w:themeFill="text2" w:themeFillTint="3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 xml:space="preserve">MORTALITY </w:t>
            </w:r>
            <w:r w:rsidRPr="0058043D">
              <w:rPr>
                <w:rStyle w:val="FootnoteReference"/>
                <w:rFonts w:asciiTheme="minorHAnsi" w:hAnsiTheme="minorHAnsi" w:cs="Arial"/>
                <w:sz w:val="16"/>
                <w:szCs w:val="16"/>
                <w:lang w:val="en-GB"/>
              </w:rPr>
              <w:footnoteReference w:id="3"/>
            </w: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1.1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Neonatal mortality rate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BH</w:t>
            </w:r>
          </w:p>
        </w:tc>
        <w:tc>
          <w:tcPr>
            <w:tcW w:w="2899" w:type="pct"/>
            <w:gridSpan w:val="2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Probability of dying within the first month of life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1.2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Infant mortality rate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CM - BH</w:t>
            </w:r>
          </w:p>
        </w:tc>
        <w:tc>
          <w:tcPr>
            <w:tcW w:w="2899" w:type="pct"/>
            <w:gridSpan w:val="2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</w:rPr>
              <w:t>Probability of dying between birth and the first birthday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4.2</w:t>
            </w: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1.3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Post-neonatal mortality rate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BH</w:t>
            </w:r>
          </w:p>
        </w:tc>
        <w:tc>
          <w:tcPr>
            <w:tcW w:w="2899" w:type="pct"/>
            <w:gridSpan w:val="2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Difference between infant and neonatal mortality rates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1.4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Child mortality rate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BH</w:t>
            </w:r>
          </w:p>
        </w:tc>
        <w:tc>
          <w:tcPr>
            <w:tcW w:w="2899" w:type="pct"/>
            <w:gridSpan w:val="2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Probability of dying between the first and the fifth birthdays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1.5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Under-five mortality rate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CM - BH</w:t>
            </w:r>
          </w:p>
        </w:tc>
        <w:tc>
          <w:tcPr>
            <w:tcW w:w="2899" w:type="pct"/>
            <w:gridSpan w:val="2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Probability of dying between birth and the fifth birthday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4.1</w:t>
            </w: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5000" w:type="pct"/>
            <w:gridSpan w:val="10"/>
            <w:shd w:val="clear" w:color="auto" w:fill="C6D9F1" w:themeFill="text2" w:themeFillTint="3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NUTRITION</w:t>
            </w: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2.1a</w:t>
            </w: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2.1b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Underweight prevalence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AN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who fall below</w:t>
            </w:r>
          </w:p>
          <w:p w:rsidR="00F719AB" w:rsidRPr="0058043D" w:rsidRDefault="00F719AB" w:rsidP="00381D63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minus two standard deviations (moderate and severe)</w:t>
            </w:r>
          </w:p>
          <w:p w:rsidR="00F719AB" w:rsidRPr="0058043D" w:rsidRDefault="00F719AB" w:rsidP="00381D63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minus three standard deviations (severe)</w:t>
            </w: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of the median weight for age of the WHO standard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1.8</w:t>
            </w: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2.2a</w:t>
            </w: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2.2b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Stunting prevalence 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AN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who fall below</w:t>
            </w:r>
          </w:p>
          <w:p w:rsidR="00F719AB" w:rsidRPr="0058043D" w:rsidRDefault="00F719AB" w:rsidP="00381D6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minus two standard deviations (moderate and severe)</w:t>
            </w:r>
          </w:p>
          <w:p w:rsidR="00F719AB" w:rsidRPr="0058043D" w:rsidRDefault="00F719AB" w:rsidP="00381D6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minus three standard deviations (severe) </w:t>
            </w: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of the median height for age of the WHO standard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2.3a</w:t>
            </w: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2.3b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Wasting prevalence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AN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who fall below</w:t>
            </w:r>
          </w:p>
          <w:p w:rsidR="00F719AB" w:rsidRPr="0058043D" w:rsidRDefault="00F719AB" w:rsidP="00381D6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minus two standard deviations (moderate and severe)</w:t>
            </w:r>
          </w:p>
          <w:p w:rsidR="00F719AB" w:rsidRPr="0058043D" w:rsidRDefault="00F719AB" w:rsidP="00381D6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minus three standard deviations (severe)</w:t>
            </w: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of the median weight for height of the WHO standard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2.4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Overweight prevalence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AN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who are above two standard deviations of the median weight for height of the WHO standard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2.5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Children ever breastfed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MN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with a live birth in the last 2 years who breastfed their last live-born child at any time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with a live birth in the last 2 years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2.6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Early initiation of breastfeeding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MN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pacing w:val="-4"/>
                <w:sz w:val="16"/>
                <w:szCs w:val="16"/>
                <w:lang w:val="en-GB"/>
              </w:rPr>
              <w:t xml:space="preserve">Number of women </w:t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with a live birth in the last 2 years</w:t>
            </w:r>
            <w:r w:rsidRPr="0058043D">
              <w:rPr>
                <w:rFonts w:asciiTheme="minorHAnsi" w:hAnsiTheme="minorHAnsi" w:cs="Arial"/>
                <w:spacing w:val="-4"/>
                <w:sz w:val="16"/>
                <w:szCs w:val="16"/>
                <w:lang w:val="en-GB"/>
              </w:rPr>
              <w:t xml:space="preserve"> who put their last newborn to the breast within one hour of birth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with a live birth in the last 2 years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2.7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Exclusive breastfeeding under 6 months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infants under 6 months of age who are exclusively breastfed</w:t>
            </w:r>
            <w:r w:rsidRPr="0058043D">
              <w:rPr>
                <w:rStyle w:val="FootnoteReference"/>
                <w:rFonts w:asciiTheme="minorHAnsi" w:hAnsiTheme="minorHAnsi" w:cs="Arial"/>
                <w:sz w:val="16"/>
                <w:szCs w:val="16"/>
                <w:lang w:val="en-GB"/>
              </w:rPr>
              <w:footnoteReference w:id="4"/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number of infants under 6 months of age 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2.8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Predominant breastfeeding under 6 months 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pageBreakBefore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infants under 6 months of age who received breast milk as the predominant source of nourishment</w:t>
            </w:r>
            <w:r w:rsidRPr="0058043D">
              <w:rPr>
                <w:rStyle w:val="FootnoteReference"/>
                <w:rFonts w:asciiTheme="minorHAnsi" w:hAnsiTheme="minorHAnsi" w:cs="Arial"/>
                <w:sz w:val="16"/>
                <w:szCs w:val="16"/>
                <w:lang w:val="en-GB"/>
              </w:rPr>
              <w:footnoteReference w:id="5"/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 during the previous 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infants under 6 months of age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2.9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Continued breastfeeding at 1 year 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12-15 months who received breast milk during the previous 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12-15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2.10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Continued breastfeeding at 2 years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20-23 months who received breast milk during the previous 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20-23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2.11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Duration of breastfeeding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2899" w:type="pct"/>
            <w:gridSpan w:val="2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The age in months when 50 percent of children age 0-35 months did not receive breast milk during the previous day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2.12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Age-appropriate breastfeeding 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0-23 months appropriately fed</w:t>
            </w:r>
            <w:r w:rsidRPr="0058043D">
              <w:rPr>
                <w:rStyle w:val="FootnoteReference"/>
                <w:rFonts w:asciiTheme="minorHAnsi" w:hAnsiTheme="minorHAnsi" w:cs="Arial"/>
                <w:sz w:val="16"/>
                <w:szCs w:val="16"/>
                <w:lang w:val="en-GB"/>
              </w:rPr>
              <w:footnoteReference w:id="6"/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 during the previous day 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0-23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2.13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Introduction of solid, semi-solid or soft foods 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infants age 6-8 months who received solid, semi-solid or soft foods during the previous day</w:t>
            </w: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infants age 6-8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2.14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Milk feeding frequency for non-breastfed children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non-breastfed children age 6-23 months who received at least 2 milk feedings during the previous day</w:t>
            </w: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non-breastfed children age 6-23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2.15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widowControl w:val="0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Minimum meal frequency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6-23 months who received solid, semi-solid and soft foods (plus milk feeds for non-breastfed children) the minimum number of times</w:t>
            </w:r>
            <w:r w:rsidRPr="0058043D">
              <w:rPr>
                <w:rStyle w:val="FootnoteReference"/>
                <w:rFonts w:asciiTheme="minorHAnsi" w:hAnsiTheme="minorHAnsi" w:cs="Arial"/>
                <w:sz w:val="16"/>
                <w:szCs w:val="16"/>
                <w:lang w:val="en-GB"/>
              </w:rPr>
              <w:footnoteReference w:id="7"/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 or more during the previous 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6-23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2.16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widowControl w:val="0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Minimum dietary diversity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6–23 months who received foods from 4 or more food groups</w:t>
            </w:r>
            <w:r w:rsidRPr="0058043D">
              <w:rPr>
                <w:rStyle w:val="FootnoteReference"/>
                <w:rFonts w:asciiTheme="minorHAnsi" w:hAnsiTheme="minorHAnsi" w:cs="Arial"/>
                <w:sz w:val="16"/>
                <w:szCs w:val="16"/>
                <w:lang w:val="en-GB"/>
              </w:rPr>
              <w:footnoteReference w:id="8"/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 during the previous 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6–23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719AB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2.17a</w:t>
            </w:r>
          </w:p>
          <w:p w:rsidR="00F719AB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2.17b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Minimum acceptable diet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breastfed children age 6–23 months who had at least the minimum dietary diversity and the minimum meal frequency during the previous day</w:t>
            </w:r>
          </w:p>
          <w:p w:rsidR="00F719AB" w:rsidRPr="0058043D" w:rsidRDefault="00F719AB" w:rsidP="00381D63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non-breastfed children age 6–23 months who received at least 2 milk feedings and had at least the minimum dietary diversity not including milk feeds and the minimum meal frequency during the previous 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breastfed children age 6–23 months</w:t>
            </w:r>
          </w:p>
          <w:p w:rsidR="00F719AB" w:rsidRPr="0058043D" w:rsidRDefault="00F719AB" w:rsidP="00381D63">
            <w:pPr>
              <w:pStyle w:val="ListParagraph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  <w:p w:rsidR="00F719AB" w:rsidRPr="0058043D" w:rsidRDefault="00F719AB" w:rsidP="00381D63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non-breastfed children age 6–23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2.18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Bottle feeding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BD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0-23 months who were fed with a bottle during the previous 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0-23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2.19</w:t>
            </w:r>
          </w:p>
        </w:tc>
        <w:tc>
          <w:tcPr>
            <w:tcW w:w="1090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Iodized salt consumption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SI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households with salt testing 15 parts per million or more of iodide/iodate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households in which salt was tested or where there was no salt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2.20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Low-birth weight infants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MN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most recent live births in the last 2 years weighing below 2,500 grams at birth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most recent live births in the last 2 years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2.21</w:t>
            </w:r>
          </w:p>
        </w:tc>
        <w:tc>
          <w:tcPr>
            <w:tcW w:w="109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Infants weighed at birth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MN</w:t>
            </w:r>
          </w:p>
        </w:tc>
        <w:tc>
          <w:tcPr>
            <w:tcW w:w="1533" w:type="pct"/>
            <w:tcBorders>
              <w:bottom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most recent live births in the last 2 years who were weighed at birth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most recent live births in the last 2 years</w:t>
            </w:r>
          </w:p>
        </w:tc>
        <w:tc>
          <w:tcPr>
            <w:tcW w:w="429" w:type="pct"/>
            <w:gridSpan w:val="3"/>
            <w:tcBorders>
              <w:bottom w:val="single" w:sz="4" w:space="0" w:color="auto"/>
            </w:tcBorders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C6D9F1" w:themeFill="text2" w:themeFillTint="3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CHILD HEALTH</w:t>
            </w: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3.1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Tuberculosis immunization coverage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IM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Style w:val="T"/>
                <w:rFonts w:asciiTheme="minorHAnsi" w:hAnsiTheme="minorHAnsi" w:cs="Arial"/>
                <w:sz w:val="16"/>
                <w:szCs w:val="16"/>
                <w:lang w:val="en-GB"/>
              </w:rPr>
              <w:t>Number of children age 12-23 months who received BCG vaccine by their first birthday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12-23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3.2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Polio immunization coverage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IM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12-23 months who received the third dose of OPV vaccine (OPV3) by their first birthday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12-23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3.3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Diphtheria, pertussis and tetanus (DPT) </w:t>
            </w:r>
            <w:r w:rsidR="0024487C">
              <w:rPr>
                <w:rFonts w:asciiTheme="minorHAnsi" w:hAnsiTheme="minorHAnsi" w:cs="Arial"/>
                <w:sz w:val="16"/>
                <w:szCs w:val="16"/>
                <w:lang w:val="en-GB"/>
              </w:rPr>
              <w:t>i</w:t>
            </w:r>
            <w:r w:rsidR="0024487C"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mmunization coverage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IM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12-23 months who received the third dose of DPT vaccine (DPT4) by their first birthday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12-23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3.4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</w:t>
            </w:r>
            <w:r w:rsidR="00381D63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easles (MMR) </w:t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immunization coverage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IM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24487C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</w:t>
            </w:r>
            <w:r w:rsidRPr="0058043D">
              <w:rPr>
                <w:rFonts w:asciiTheme="minorHAnsi" w:hAnsiTheme="minorHAnsi" w:cs="Arial"/>
                <w:sz w:val="16"/>
                <w:szCs w:val="16"/>
              </w:rPr>
              <w:t xml:space="preserve">children age </w:t>
            </w:r>
            <w:r w:rsidR="0024487C">
              <w:rPr>
                <w:rFonts w:asciiTheme="minorHAnsi" w:hAnsiTheme="minorHAnsi" w:cs="Arial"/>
                <w:sz w:val="16"/>
                <w:szCs w:val="16"/>
              </w:rPr>
              <w:t xml:space="preserve">24-35 </w:t>
            </w:r>
            <w:r w:rsidRPr="0058043D">
              <w:rPr>
                <w:rFonts w:asciiTheme="minorHAnsi" w:hAnsiTheme="minorHAnsi" w:cs="Arial"/>
                <w:sz w:val="16"/>
                <w:szCs w:val="16"/>
              </w:rPr>
              <w:t xml:space="preserve">months who received the </w:t>
            </w:r>
            <w:r w:rsidR="00381D63">
              <w:rPr>
                <w:rFonts w:asciiTheme="minorHAnsi" w:hAnsiTheme="minorHAnsi" w:cs="Arial"/>
                <w:sz w:val="16"/>
                <w:szCs w:val="16"/>
              </w:rPr>
              <w:t xml:space="preserve">first </w:t>
            </w:r>
            <w:r w:rsidRPr="0058043D">
              <w:rPr>
                <w:rFonts w:asciiTheme="minorHAnsi" w:hAnsiTheme="minorHAnsi" w:cs="Arial"/>
                <w:sz w:val="16"/>
                <w:szCs w:val="16"/>
              </w:rPr>
              <w:t xml:space="preserve">dose of measles , mumps, and rubella vaccine by their </w:t>
            </w:r>
            <w:r w:rsidR="00381D63">
              <w:rPr>
                <w:rFonts w:asciiTheme="minorHAnsi" w:hAnsiTheme="minorHAnsi" w:cs="Arial"/>
                <w:sz w:val="16"/>
                <w:szCs w:val="16"/>
              </w:rPr>
              <w:t xml:space="preserve">second </w:t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birthday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12-23 months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4.3</w:t>
            </w: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3.5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Hepatitis B immunization coverage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IM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12-23 months who received the third dose of Hepatitis B vaccine (HepB3) by their first birthday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12-23 months</w:t>
            </w: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24487C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3.</w:t>
            </w:r>
            <w:r w:rsidR="0024487C">
              <w:rPr>
                <w:rFonts w:asciiTheme="minorHAnsi" w:hAnsiTheme="minorHAnsi" w:cs="Arial"/>
                <w:sz w:val="16"/>
                <w:szCs w:val="16"/>
                <w:lang w:val="en-GB"/>
              </w:rPr>
              <w:t>6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proofErr w:type="spellStart"/>
            <w:r w:rsidRPr="0058043D">
              <w:rPr>
                <w:rFonts w:asciiTheme="minorHAnsi" w:hAnsiTheme="minorHAnsi" w:cs="Arial"/>
                <w:sz w:val="16"/>
                <w:szCs w:val="16"/>
              </w:rPr>
              <w:t>Haemophilus</w:t>
            </w:r>
            <w:proofErr w:type="spellEnd"/>
            <w:r w:rsidRPr="0058043D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58043D">
              <w:rPr>
                <w:rFonts w:asciiTheme="minorHAnsi" w:hAnsiTheme="minorHAnsi" w:cs="Arial"/>
                <w:sz w:val="16"/>
                <w:szCs w:val="16"/>
              </w:rPr>
              <w:t>influenzae</w:t>
            </w:r>
            <w:proofErr w:type="spellEnd"/>
            <w:r w:rsidRPr="0058043D">
              <w:rPr>
                <w:rFonts w:asciiTheme="minorHAnsi" w:hAnsiTheme="minorHAnsi" w:cs="Arial"/>
                <w:sz w:val="16"/>
                <w:szCs w:val="16"/>
              </w:rPr>
              <w:t xml:space="preserve"> type B (H</w:t>
            </w:r>
            <w:proofErr w:type="spellStart"/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ib</w:t>
            </w:r>
            <w:proofErr w:type="spellEnd"/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) immunization coverage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IM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children age 12-23 months who received the third dose of </w:t>
            </w:r>
            <w:proofErr w:type="spellStart"/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Hib</w:t>
            </w:r>
            <w:proofErr w:type="spellEnd"/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 vaccine (Hib3) by their first birthday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12-23 months</w:t>
            </w: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24487C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24487C" w:rsidRPr="0024487C" w:rsidRDefault="0024487C" w:rsidP="0024487C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24487C">
              <w:rPr>
                <w:rFonts w:asciiTheme="minorHAnsi" w:hAnsiTheme="minorHAnsi" w:cs="Arial"/>
                <w:sz w:val="16"/>
                <w:szCs w:val="16"/>
                <w:lang w:val="en-GB"/>
              </w:rPr>
              <w:t>3.8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87C" w:rsidRPr="0024487C" w:rsidRDefault="0024487C" w:rsidP="0024487C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24487C">
              <w:rPr>
                <w:rFonts w:asciiTheme="minorHAnsi" w:hAnsiTheme="minorHAnsi" w:cs="Arial"/>
                <w:sz w:val="16"/>
                <w:szCs w:val="16"/>
                <w:lang w:val="en-GB"/>
              </w:rPr>
              <w:t>Full immunization coverage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87C" w:rsidRPr="0024487C" w:rsidRDefault="0024487C" w:rsidP="0024487C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24487C">
              <w:rPr>
                <w:rFonts w:asciiTheme="minorHAnsi" w:hAnsiTheme="minorHAnsi" w:cs="Arial"/>
                <w:sz w:val="16"/>
                <w:szCs w:val="16"/>
                <w:lang w:val="en-GB"/>
              </w:rPr>
              <w:t>IM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87C" w:rsidRPr="0024487C" w:rsidRDefault="0024487C" w:rsidP="0024487C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24487C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24-35 months who received all vaccinations recommended in the national immunization schedule before their first birthday  measles vaccine by their second birthday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87C" w:rsidRPr="0024487C" w:rsidRDefault="0024487C" w:rsidP="0024487C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24487C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number of children age 24-35 </w:t>
            </w: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87C" w:rsidRDefault="0024487C" w:rsidP="0024487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3.10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Care-seeking for diarrhoea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with diarrhoea in the last 2 weeks for whom advice or treatment was sought from a health facility or provider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 with diarrhoea in the last 2 weeks</w:t>
            </w: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F719AB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719AB" w:rsidRPr="0058043D" w:rsidRDefault="00F719AB" w:rsidP="00213081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3.</w:t>
            </w:r>
            <w:r w:rsidR="00213081">
              <w:rPr>
                <w:rFonts w:asciiTheme="minorHAnsi" w:hAnsiTheme="minorHAnsi" w:cs="Arial"/>
                <w:sz w:val="16"/>
                <w:szCs w:val="16"/>
                <w:lang w:val="en-GB"/>
              </w:rPr>
              <w:t>S1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Diarrhoea treatment with oral rehydration therapy (ORT) and continued feeding</w:t>
            </w:r>
          </w:p>
        </w:tc>
        <w:tc>
          <w:tcPr>
            <w:tcW w:w="357" w:type="pct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CA</w:t>
            </w:r>
          </w:p>
        </w:tc>
        <w:tc>
          <w:tcPr>
            <w:tcW w:w="1533" w:type="pct"/>
            <w:vAlign w:val="center"/>
          </w:tcPr>
          <w:p w:rsidR="00F719AB" w:rsidRPr="0058043D" w:rsidRDefault="00F719AB" w:rsidP="004528CB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with diarrhoea in the last 2 weeks who received ORT (ORS packet, pre-packaged ORS fluid, or increased fluids) and continued feeding during the episode of diarrhoea</w:t>
            </w:r>
          </w:p>
        </w:tc>
        <w:tc>
          <w:tcPr>
            <w:tcW w:w="1366" w:type="pct"/>
            <w:vAlign w:val="center"/>
          </w:tcPr>
          <w:p w:rsidR="00F719AB" w:rsidRPr="0058043D" w:rsidRDefault="00F719AB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 with diarrhoea in the last 2 weeks</w:t>
            </w:r>
          </w:p>
        </w:tc>
        <w:tc>
          <w:tcPr>
            <w:tcW w:w="429" w:type="pct"/>
            <w:gridSpan w:val="3"/>
            <w:vAlign w:val="center"/>
          </w:tcPr>
          <w:p w:rsidR="00F719AB" w:rsidRPr="0058043D" w:rsidRDefault="00F719AB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213081" w:rsidTr="00B2393A">
        <w:trPr>
          <w:trHeight w:val="284"/>
          <w:jc w:val="center"/>
        </w:trPr>
        <w:tc>
          <w:tcPr>
            <w:tcW w:w="225" w:type="pct"/>
            <w:gridSpan w:val="3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BE01D0" w:rsidRPr="00213081" w:rsidRDefault="00BE01D0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213081">
              <w:rPr>
                <w:rFonts w:asciiTheme="minorHAnsi" w:hAnsiTheme="minorHAnsi" w:cs="Arial"/>
                <w:sz w:val="16"/>
                <w:szCs w:val="16"/>
                <w:lang w:val="en-GB"/>
              </w:rPr>
              <w:t>3.12</w:t>
            </w:r>
          </w:p>
        </w:tc>
        <w:tc>
          <w:tcPr>
            <w:tcW w:w="1090" w:type="pct"/>
            <w:shd w:val="clear" w:color="auto" w:fill="auto"/>
          </w:tcPr>
          <w:p w:rsidR="00BE01D0" w:rsidRPr="00213081" w:rsidRDefault="00BE01D0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213081">
              <w:rPr>
                <w:rFonts w:asciiTheme="minorHAnsi" w:hAnsiTheme="minorHAnsi" w:cs="Arial"/>
                <w:sz w:val="16"/>
                <w:szCs w:val="16"/>
                <w:lang w:val="en-GB"/>
              </w:rPr>
              <w:t>Diarrhoea treatment with oral rehydration therapy (ORT) and continued feeding</w:t>
            </w:r>
          </w:p>
        </w:tc>
        <w:tc>
          <w:tcPr>
            <w:tcW w:w="357" w:type="pct"/>
            <w:shd w:val="clear" w:color="auto" w:fill="auto"/>
          </w:tcPr>
          <w:p w:rsidR="00BE01D0" w:rsidRPr="00213081" w:rsidRDefault="00BE01D0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213081">
              <w:rPr>
                <w:rFonts w:asciiTheme="minorHAnsi" w:hAnsiTheme="minorHAnsi" w:cs="Arial"/>
                <w:sz w:val="16"/>
                <w:szCs w:val="16"/>
                <w:lang w:val="en-GB"/>
              </w:rPr>
              <w:t>CA</w:t>
            </w:r>
          </w:p>
        </w:tc>
        <w:tc>
          <w:tcPr>
            <w:tcW w:w="1533" w:type="pct"/>
            <w:shd w:val="clear" w:color="auto" w:fill="auto"/>
          </w:tcPr>
          <w:p w:rsidR="00BE01D0" w:rsidRPr="00213081" w:rsidRDefault="00BE01D0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213081">
              <w:rPr>
                <w:rFonts w:asciiTheme="minorHAnsi" w:hAnsiTheme="minorHAnsi" w:cs="Arial"/>
                <w:sz w:val="16"/>
                <w:szCs w:val="16"/>
                <w:lang w:val="en-GB"/>
              </w:rPr>
              <w:t>Percentage of children under age 5 with diarrhoea in the last 2 weeks who received ORT (ORS packet, pre-packaged ORS fluid, or increased fluids) and continued feeding during the episode of diarrhoea</w:t>
            </w:r>
          </w:p>
        </w:tc>
        <w:tc>
          <w:tcPr>
            <w:tcW w:w="1366" w:type="pct"/>
            <w:shd w:val="clear" w:color="auto" w:fill="auto"/>
            <w:vAlign w:val="center"/>
          </w:tcPr>
          <w:p w:rsidR="00BE01D0" w:rsidRPr="0058043D" w:rsidRDefault="00BE01D0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 with diarrhoea in the last 2 weeks</w:t>
            </w:r>
          </w:p>
        </w:tc>
        <w:tc>
          <w:tcPr>
            <w:tcW w:w="429" w:type="pct"/>
            <w:gridSpan w:val="3"/>
            <w:shd w:val="clear" w:color="auto" w:fill="auto"/>
            <w:vAlign w:val="center"/>
          </w:tcPr>
          <w:p w:rsidR="00BE01D0" w:rsidRPr="0058043D" w:rsidRDefault="00BE01D0" w:rsidP="00213081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3.13</w:t>
            </w:r>
          </w:p>
        </w:tc>
        <w:tc>
          <w:tcPr>
            <w:tcW w:w="1090" w:type="pct"/>
            <w:vAlign w:val="center"/>
          </w:tcPr>
          <w:p w:rsidR="00BE01D0" w:rsidRPr="0058043D" w:rsidRDefault="00BE01D0" w:rsidP="0024487C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Care-seeking </w:t>
            </w: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for </w:t>
            </w:r>
            <w:r w:rsidRPr="00C959E7">
              <w:rPr>
                <w:rFonts w:ascii="Arial" w:hAnsi="Arial" w:cs="Arial"/>
                <w:sz w:val="16"/>
                <w:szCs w:val="16"/>
                <w:lang w:val="en-GB"/>
              </w:rPr>
              <w:t>children with acute respiratory infection (ARI)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symptoms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CA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24487C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DA7C7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with ARI symptoms in the last 2 weeks for whom advice or treatment was sought from a health facility or provider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 with ARI symptoms in the last 2 weeks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3.14</w:t>
            </w:r>
          </w:p>
        </w:tc>
        <w:tc>
          <w:tcPr>
            <w:tcW w:w="1090" w:type="pct"/>
            <w:vAlign w:val="center"/>
          </w:tcPr>
          <w:p w:rsidR="00BE01D0" w:rsidRPr="0058043D" w:rsidRDefault="00BE01D0" w:rsidP="0024487C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Antibiotic treatment for children with </w:t>
            </w:r>
            <w:r w:rsidRPr="00C959E7">
              <w:rPr>
                <w:rFonts w:ascii="Arial" w:hAnsi="Arial" w:cs="Arial"/>
                <w:sz w:val="16"/>
                <w:szCs w:val="16"/>
                <w:lang w:val="en-GB"/>
              </w:rPr>
              <w:t>children with acute respiratory infection (ARI)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symptoms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CA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DA7C7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children under age 5 with </w:t>
            </w:r>
            <w:r w:rsidRPr="00DA7C7D">
              <w:rPr>
                <w:rFonts w:asciiTheme="minorHAnsi" w:hAnsiTheme="minorHAnsi" w:cs="Arial"/>
                <w:sz w:val="16"/>
                <w:szCs w:val="16"/>
                <w:lang w:val="en-GB"/>
              </w:rPr>
              <w:t>ARI symptoms</w:t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 in the last 2 weeks who received antibiotics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 with ARI symptoms in the last 2 weeks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25" w:type="pct"/>
            <w:gridSpan w:val="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3.15</w:t>
            </w:r>
          </w:p>
        </w:tc>
        <w:tc>
          <w:tcPr>
            <w:tcW w:w="1090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Use of solid fuels for cooking 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HC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household members in households that use solid fuels as the primary source of domestic energy to cook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household members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5000" w:type="pct"/>
            <w:gridSpan w:val="10"/>
            <w:shd w:val="clear" w:color="auto" w:fill="C6D9F1" w:themeFill="text2" w:themeFillTint="3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pageBreakBefore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lastRenderedPageBreak/>
              <w:t>WATER AND SANITATION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4.1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Use of improved drinking water sources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WS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household members using improved sources of drinking water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household members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7.8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4.2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Water treatment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WS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household members in households using unimproved drinking water who use an appropriate treatment method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household members in households using unimproved drinking water sources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4.3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Use of improved sanitation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WS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household members using improved sanitation facilities which are not shared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household members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7.9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C6D9F1" w:themeFill="text2" w:themeFillTint="3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REPRODUCTIVE HEALTH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5.1</w:t>
            </w:r>
          </w:p>
        </w:tc>
        <w:tc>
          <w:tcPr>
            <w:tcW w:w="1098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Adolescent birth rate</w:t>
            </w:r>
            <w:r w:rsidRPr="0058043D">
              <w:rPr>
                <w:rStyle w:val="FootnoteReference"/>
                <w:rFonts w:asciiTheme="minorHAnsi" w:hAnsiTheme="minorHAnsi" w:cs="Arial"/>
                <w:sz w:val="16"/>
                <w:szCs w:val="16"/>
                <w:lang w:val="en-GB"/>
              </w:rPr>
              <w:footnoteReference w:id="9"/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CM - BH</w:t>
            </w:r>
          </w:p>
        </w:tc>
        <w:tc>
          <w:tcPr>
            <w:tcW w:w="2899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Age-specific fertility rate for women age 15-19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5.4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5.2</w:t>
            </w:r>
          </w:p>
        </w:tc>
        <w:tc>
          <w:tcPr>
            <w:tcW w:w="1098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Early childbearing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CM - BH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20-24 years who had at least one live birth before age 18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20-24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5.3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Contraceptive prevalence rate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CP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women age 15-49 years currently married who are using (or whose partner is using) a (modern or traditional) contraceptive method 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 who are currently married.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5.3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5.4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Unmet need</w:t>
            </w:r>
            <w:r w:rsidRPr="0058043D">
              <w:rPr>
                <w:rStyle w:val="FootnoteReference"/>
                <w:rFonts w:asciiTheme="minorHAnsi" w:hAnsiTheme="minorHAnsi" w:cs="Arial"/>
                <w:sz w:val="16"/>
                <w:szCs w:val="16"/>
                <w:lang w:val="en-GB"/>
              </w:rPr>
              <w:footnoteReference w:id="10"/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UN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who are currently married who are fecund and want to space their births or limit the number of children they have and who are not currently using contraception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 who are currently married.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5.6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5.5a</w:t>
            </w:r>
          </w:p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5.5b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Antenatal care coverage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MN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with a live birth in the last 2 years who were attended during their last pregnancy that led to a live birth</w:t>
            </w:r>
          </w:p>
          <w:p w:rsidR="00BE01D0" w:rsidRPr="0058043D" w:rsidRDefault="00BE01D0" w:rsidP="00381D63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at least once by skilled health personnel</w:t>
            </w:r>
          </w:p>
          <w:p w:rsidR="00BE01D0" w:rsidRPr="0058043D" w:rsidRDefault="00BE01D0" w:rsidP="00381D63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at least four times by any provider</w:t>
            </w:r>
          </w:p>
          <w:p w:rsidR="00BE01D0" w:rsidRPr="0058043D" w:rsidRDefault="00BE01D0" w:rsidP="00381D63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Place of receiving Antenatal care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 with a live birth in the last 2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5.5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DA7C7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5.6</w:t>
            </w:r>
          </w:p>
        </w:tc>
        <w:tc>
          <w:tcPr>
            <w:tcW w:w="1098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Content of antenatal care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MN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women age 15-49 years with a live birth in the last 2 years who had their blood pressure measured and gave urine and blood samples during the last pregnancy that led to a live </w:t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birth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Total number of women age 15-49 years with a live birth in the last 2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5.7</w:t>
            </w:r>
          </w:p>
        </w:tc>
        <w:tc>
          <w:tcPr>
            <w:tcW w:w="1098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Skilled attendant at delivery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MN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with a live birth in the last 2 years who were attended by skilled health personnel during their most recent live birth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 with a live birth in the last 2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5.2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5.8</w:t>
            </w:r>
          </w:p>
        </w:tc>
        <w:tc>
          <w:tcPr>
            <w:tcW w:w="1098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Institutional deliveries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MN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with a live birth in the last 2 years whose most recent live birth was delivered in a health facility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 with a live birth in the last 2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5.9</w:t>
            </w:r>
          </w:p>
        </w:tc>
        <w:tc>
          <w:tcPr>
            <w:tcW w:w="1098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Caesarean section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MN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whose most recent live birth in the last 2 years was delivered by caesarean section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 with a live birth in the last 2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F016E4">
        <w:trPr>
          <w:trHeight w:val="638"/>
          <w:jc w:val="center"/>
        </w:trPr>
        <w:tc>
          <w:tcPr>
            <w:tcW w:w="217" w:type="pct"/>
            <w:gridSpan w:val="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5.10</w:t>
            </w:r>
          </w:p>
        </w:tc>
        <w:tc>
          <w:tcPr>
            <w:tcW w:w="1098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Post-partum stay in health facility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PN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F016E4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who stayed in the health facility for 12 hours or more after the delivery of their most recent live birth in the last 2 years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 with a live birth in the last 2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5.11</w:t>
            </w:r>
          </w:p>
        </w:tc>
        <w:tc>
          <w:tcPr>
            <w:tcW w:w="1098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Post-natal health check for the newborn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PN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F016E4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last live births in the last 2 years who received a health check while in facility or at home following delivery, or a post-natal care visit within 2 days after delivery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last live births in the last 2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5.12</w:t>
            </w:r>
          </w:p>
        </w:tc>
        <w:tc>
          <w:tcPr>
            <w:tcW w:w="1098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Post-natal health check for the mother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PN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who received a health check while in facility or at home following delivery, or a post-natal care visit within 2 days after delivery of their most recent live birth in the last 2 years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 with a live birth in the last 2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C6D9F1" w:themeFill="text2" w:themeFillTint="3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CHILD DEVELOPMENT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6.1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keepNext/>
              <w:keepLines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Attendance to early childhood education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EC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36-59 months who are attending an early childhood education programme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36-59 months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6.2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Support for learning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EC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36-59 months with whom an adult has engaged in four or more activities to promote learning and school readiness in the last 3 days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36-59 months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6.3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Father’s support for learning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EC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36-59 months whose biological father has engaged in four or more activities to promote learning and school readiness in the last 3 days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36-59 months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6.4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Mother’s support for learning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EC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children age 36-59 months whose biological mother has engaged in four or more activities to promote learning and </w:t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school readiness in the last 3 days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Total number of children age 36-59 months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F016E4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6.5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Availability of children’s books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EC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who have three or more children’s books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6.6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Availability of playthings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EC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who play with two or more types of playthings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6.7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Inadequate care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EC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left alone or in the care of another child younger than 10 years of age for more than one hour at least once in the last week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6.8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keepNext/>
              <w:keepLines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8043D">
              <w:rPr>
                <w:rFonts w:asciiTheme="minorHAnsi" w:hAnsiTheme="minorHAnsi" w:cs="Arial"/>
                <w:bCs/>
                <w:sz w:val="16"/>
                <w:szCs w:val="16"/>
              </w:rPr>
              <w:t>Early child development index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EC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58043D">
              <w:rPr>
                <w:rFonts w:asciiTheme="minorHAnsi" w:hAnsiTheme="minorHAnsi"/>
                <w:sz w:val="16"/>
                <w:szCs w:val="16"/>
              </w:rPr>
              <w:t xml:space="preserve">Number of children age 36-59 months who are developmentally on track in </w:t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at least three of the following four domains</w:t>
            </w:r>
            <w:r w:rsidRPr="0058043D">
              <w:rPr>
                <w:rFonts w:asciiTheme="minorHAnsi" w:hAnsiTheme="minorHAnsi"/>
                <w:sz w:val="16"/>
                <w:szCs w:val="16"/>
              </w:rPr>
              <w:t xml:space="preserve">:literacy-numeracy, physical, social-emotional, and learning 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</w:rPr>
              <w:t>Total number of children age 36-59 months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5000" w:type="pct"/>
            <w:gridSpan w:val="10"/>
            <w:tcBorders>
              <w:top w:val="nil"/>
            </w:tcBorders>
            <w:shd w:val="clear" w:color="auto" w:fill="C6D9F1" w:themeFill="text2" w:themeFillTint="3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58043D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LITERACY AND EDUCATION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7.1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F016E4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Literacy rate among young women 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WB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15-24 years who are able to read a short simple statement about everyday life or who attended secondary or higher education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15-24 years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2.3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7.2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School readiness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in first grade of primary school who attended pre-school during the previous school year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attending the first grade of primary school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7.3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Net intake rate in primary education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of school-entry age who enter the first grade of primary school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of school-entry age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7.4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Primary school net attendance ratio (adjusted)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children of primary school age currently attending primary or secondary school 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number of children of primary school age 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2.1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7.5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Secondary school net attendance ratio (adjusted)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children of secondary school age currently attending secondary school or higher 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of secondary school age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7.6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Children reaching last grade of primary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2899" w:type="pct"/>
            <w:gridSpan w:val="2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Proportion of children entering the first grade of primary school who eventually reach last grade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2.2</w:t>
            </w: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7.7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Primary completion rate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attending the last grade of primary school (excluding repeaters)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of primary school completion age (age appropriate to final grade of primary school)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7.8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Transition rate to secondary school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children attending the last grade of primary school during the previous school year who are in the first grade of </w:t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 xml:space="preserve">secondary school during the current school year 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Total number of children attending the last grade of primary school during the previous school year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E01D0" w:rsidRPr="0058043D" w:rsidTr="00381D63">
        <w:trPr>
          <w:trHeight w:val="284"/>
          <w:jc w:val="center"/>
        </w:trPr>
        <w:tc>
          <w:tcPr>
            <w:tcW w:w="217" w:type="pct"/>
            <w:gridSpan w:val="2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7.9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Gender parity index (primary school)</w:t>
            </w:r>
          </w:p>
        </w:tc>
        <w:tc>
          <w:tcPr>
            <w:tcW w:w="357" w:type="pct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Primary school net attendance ratio (adjusted) for girls</w:t>
            </w:r>
          </w:p>
        </w:tc>
        <w:tc>
          <w:tcPr>
            <w:tcW w:w="1366" w:type="pct"/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Primary school net attendance ratio (adjusted) for boys</w:t>
            </w:r>
          </w:p>
        </w:tc>
        <w:tc>
          <w:tcPr>
            <w:tcW w:w="429" w:type="pct"/>
            <w:gridSpan w:val="3"/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3.1</w:t>
            </w:r>
          </w:p>
        </w:tc>
      </w:tr>
      <w:tr w:rsidR="00BE01D0" w:rsidRPr="0058043D" w:rsidTr="003E600D">
        <w:trPr>
          <w:trHeight w:val="284"/>
          <w:jc w:val="center"/>
        </w:trPr>
        <w:tc>
          <w:tcPr>
            <w:tcW w:w="217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7.10</w:t>
            </w:r>
          </w:p>
        </w:tc>
        <w:tc>
          <w:tcPr>
            <w:tcW w:w="1098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Gender parity index (secondary school)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tcBorders>
              <w:bottom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Secondary school net attendance ratio (adjusted) for girls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vAlign w:val="center"/>
          </w:tcPr>
          <w:p w:rsidR="00BE01D0" w:rsidRPr="0058043D" w:rsidRDefault="00BE01D0" w:rsidP="00381D63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Secondary school net attendance ratio (adjusted) for boys</w:t>
            </w:r>
          </w:p>
        </w:tc>
        <w:tc>
          <w:tcPr>
            <w:tcW w:w="429" w:type="pct"/>
            <w:gridSpan w:val="3"/>
            <w:tcBorders>
              <w:bottom w:val="single" w:sz="4" w:space="0" w:color="auto"/>
            </w:tcBorders>
            <w:vAlign w:val="center"/>
          </w:tcPr>
          <w:p w:rsidR="00BE01D0" w:rsidRPr="0058043D" w:rsidRDefault="00BE01D0" w:rsidP="00381D63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MDG 3.1</w:t>
            </w:r>
          </w:p>
        </w:tc>
      </w:tr>
      <w:tr w:rsidR="00B2393A" w:rsidRPr="0058043D" w:rsidTr="00B2393A">
        <w:trPr>
          <w:trHeight w:val="284"/>
          <w:jc w:val="center"/>
        </w:trPr>
        <w:tc>
          <w:tcPr>
            <w:tcW w:w="217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7.S1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1C00C6">
              <w:rPr>
                <w:rFonts w:asciiTheme="minorHAnsi" w:hAnsiTheme="minorHAnsi" w:cs="Arial"/>
                <w:bCs/>
                <w:sz w:val="18"/>
                <w:szCs w:val="18"/>
              </w:rPr>
              <w:t>Basic school net attendance ratio (adjusted)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tcBorders>
              <w:bottom w:val="single" w:sz="4" w:space="0" w:color="auto"/>
            </w:tcBorders>
          </w:tcPr>
          <w:p w:rsidR="00B2393A" w:rsidRPr="00B2393A" w:rsidRDefault="00B2393A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</w:t>
            </w: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>of children of basic school age currently attending basic or secondary school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number of children of </w:t>
            </w: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basic</w:t>
            </w: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 school age </w:t>
            </w:r>
          </w:p>
        </w:tc>
        <w:tc>
          <w:tcPr>
            <w:tcW w:w="429" w:type="pct"/>
            <w:gridSpan w:val="3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2393A" w:rsidRPr="0058043D" w:rsidTr="00B2393A">
        <w:trPr>
          <w:trHeight w:val="284"/>
          <w:jc w:val="center"/>
        </w:trPr>
        <w:tc>
          <w:tcPr>
            <w:tcW w:w="217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7.S2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1C00C6">
              <w:rPr>
                <w:rFonts w:asciiTheme="minorHAnsi" w:hAnsiTheme="minorHAnsi" w:cs="Arial"/>
                <w:bCs/>
                <w:sz w:val="18"/>
                <w:szCs w:val="18"/>
              </w:rPr>
              <w:t>Secondary school net attendance ratio (adjusted)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tcBorders>
              <w:bottom w:val="single" w:sz="4" w:space="0" w:color="auto"/>
            </w:tcBorders>
          </w:tcPr>
          <w:p w:rsidR="00B2393A" w:rsidRPr="00B2393A" w:rsidRDefault="00B2393A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</w:t>
            </w: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 of children of secondary school age currently attending secondary school or higher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of secondary school age</w:t>
            </w:r>
          </w:p>
        </w:tc>
        <w:tc>
          <w:tcPr>
            <w:tcW w:w="429" w:type="pct"/>
            <w:gridSpan w:val="3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2393A" w:rsidRPr="0058043D" w:rsidTr="00B2393A">
        <w:trPr>
          <w:trHeight w:val="284"/>
          <w:jc w:val="center"/>
        </w:trPr>
        <w:tc>
          <w:tcPr>
            <w:tcW w:w="217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7.S3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1C00C6">
              <w:rPr>
                <w:rFonts w:asciiTheme="minorHAnsi" w:hAnsiTheme="minorHAnsi" w:cs="Arial"/>
                <w:bCs/>
                <w:sz w:val="18"/>
                <w:szCs w:val="18"/>
              </w:rPr>
              <w:t>Children reaching last grade of basic</w:t>
            </w:r>
            <w:r w:rsidRPr="001C00C6">
              <w:rPr>
                <w:rFonts w:asciiTheme="minorHAnsi" w:hAnsiTheme="minorHAnsi" w:cs="Arial"/>
                <w:bCs/>
                <w:sz w:val="18"/>
                <w:szCs w:val="18"/>
                <w:rtl/>
                <w:lang w:bidi="ar-JO"/>
              </w:rPr>
              <w:t xml:space="preserve"> 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2899" w:type="pct"/>
            <w:gridSpan w:val="2"/>
            <w:tcBorders>
              <w:bottom w:val="single" w:sz="4" w:space="0" w:color="auto"/>
            </w:tcBorders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Proportion </w:t>
            </w: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>of children entering the first grade of basic school who eventually reach last grade</w:t>
            </w:r>
          </w:p>
        </w:tc>
        <w:tc>
          <w:tcPr>
            <w:tcW w:w="429" w:type="pct"/>
            <w:gridSpan w:val="3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2393A" w:rsidRPr="0058043D" w:rsidTr="00B2393A">
        <w:trPr>
          <w:trHeight w:val="284"/>
          <w:jc w:val="center"/>
        </w:trPr>
        <w:tc>
          <w:tcPr>
            <w:tcW w:w="217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7.S4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1C00C6">
              <w:rPr>
                <w:rFonts w:asciiTheme="minorHAnsi" w:hAnsiTheme="minorHAnsi" w:cs="Arial"/>
                <w:bCs/>
                <w:sz w:val="18"/>
                <w:szCs w:val="18"/>
              </w:rPr>
              <w:t>Basic completion rate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tcBorders>
              <w:bottom w:val="single" w:sz="4" w:space="0" w:color="auto"/>
            </w:tcBorders>
          </w:tcPr>
          <w:p w:rsidR="00B2393A" w:rsidRPr="00B2393A" w:rsidRDefault="00B2393A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attending the last grade of bas</w:t>
            </w: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ic school (excluding repeaters)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</w:t>
            </w: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of basic school completion age (age appropriate to final grade of basic school)</w:t>
            </w:r>
          </w:p>
        </w:tc>
        <w:tc>
          <w:tcPr>
            <w:tcW w:w="429" w:type="pct"/>
            <w:gridSpan w:val="3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2393A" w:rsidRPr="0058043D" w:rsidTr="00B2393A">
        <w:trPr>
          <w:trHeight w:val="284"/>
          <w:jc w:val="center"/>
        </w:trPr>
        <w:tc>
          <w:tcPr>
            <w:tcW w:w="217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7.S5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1C00C6">
              <w:rPr>
                <w:rFonts w:asciiTheme="minorHAnsi" w:hAnsiTheme="minorHAnsi" w:cs="Arial"/>
                <w:bCs/>
                <w:sz w:val="18"/>
                <w:szCs w:val="18"/>
              </w:rPr>
              <w:t>Transition rate to secondary school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tcBorders>
              <w:bottom w:val="single" w:sz="4" w:space="0" w:color="auto"/>
            </w:tcBorders>
          </w:tcPr>
          <w:p w:rsidR="00B2393A" w:rsidRPr="00B2393A" w:rsidRDefault="00B2393A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children attending the last grade of basic school during the previous school year who are in the first grade of secondary school during the current school year 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58043D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</w:t>
            </w: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attending the last grade of basic school during the previous school year</w:t>
            </w:r>
          </w:p>
        </w:tc>
        <w:tc>
          <w:tcPr>
            <w:tcW w:w="429" w:type="pct"/>
            <w:gridSpan w:val="3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2393A" w:rsidRPr="0058043D" w:rsidTr="00B2393A">
        <w:trPr>
          <w:trHeight w:val="284"/>
          <w:jc w:val="center"/>
        </w:trPr>
        <w:tc>
          <w:tcPr>
            <w:tcW w:w="217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7.S6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1C00C6">
              <w:rPr>
                <w:rFonts w:asciiTheme="minorHAnsi" w:hAnsiTheme="minorHAnsi" w:cs="Arial"/>
                <w:bCs/>
                <w:sz w:val="18"/>
                <w:szCs w:val="18"/>
              </w:rPr>
              <w:t>Gender parity index (basic school)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tcBorders>
              <w:bottom w:val="single" w:sz="4" w:space="0" w:color="auto"/>
            </w:tcBorders>
          </w:tcPr>
          <w:p w:rsidR="00B2393A" w:rsidRPr="00B2393A" w:rsidRDefault="00B2393A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>Basic school net attend</w:t>
            </w: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ance ratio (adjusted) for girls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B</w:t>
            </w: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>asic school net attendance ratio (adjusted) for boys</w:t>
            </w:r>
          </w:p>
        </w:tc>
        <w:tc>
          <w:tcPr>
            <w:tcW w:w="429" w:type="pct"/>
            <w:gridSpan w:val="3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2393A" w:rsidRPr="0058043D" w:rsidTr="00B2393A">
        <w:trPr>
          <w:trHeight w:val="284"/>
          <w:jc w:val="center"/>
        </w:trPr>
        <w:tc>
          <w:tcPr>
            <w:tcW w:w="217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7.S7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1C00C6">
              <w:rPr>
                <w:rFonts w:asciiTheme="minorHAnsi" w:hAnsiTheme="minorHAnsi" w:cs="Arial"/>
                <w:bCs/>
                <w:sz w:val="18"/>
                <w:szCs w:val="18"/>
              </w:rPr>
              <w:t>Gender parity index (secondary school)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ED</w:t>
            </w:r>
          </w:p>
        </w:tc>
        <w:tc>
          <w:tcPr>
            <w:tcW w:w="1533" w:type="pct"/>
            <w:tcBorders>
              <w:bottom w:val="single" w:sz="4" w:space="0" w:color="auto"/>
            </w:tcBorders>
          </w:tcPr>
          <w:p w:rsidR="00B2393A" w:rsidRPr="00B2393A" w:rsidRDefault="00B2393A" w:rsidP="00B2393A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>Secondary school net attend</w:t>
            </w: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ance ratio (adjusted) for girls.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S</w:t>
            </w:r>
            <w:r w:rsidRPr="00B2393A">
              <w:rPr>
                <w:rFonts w:asciiTheme="minorHAnsi" w:hAnsiTheme="minorHAnsi" w:cs="Arial"/>
                <w:sz w:val="16"/>
                <w:szCs w:val="16"/>
                <w:lang w:val="en-GB"/>
              </w:rPr>
              <w:t>econdary school net attendance ratio (adjusted) for boys</w:t>
            </w:r>
          </w:p>
        </w:tc>
        <w:tc>
          <w:tcPr>
            <w:tcW w:w="429" w:type="pct"/>
            <w:gridSpan w:val="3"/>
            <w:tcBorders>
              <w:bottom w:val="single" w:sz="4" w:space="0" w:color="auto"/>
            </w:tcBorders>
            <w:vAlign w:val="center"/>
          </w:tcPr>
          <w:p w:rsidR="00B2393A" w:rsidRPr="0058043D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c>
          <w:tcPr>
            <w:tcW w:w="5000" w:type="pct"/>
            <w:gridSpan w:val="10"/>
            <w:shd w:val="clear" w:color="auto" w:fill="C6D9F1" w:themeFill="text2" w:themeFillTint="3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pageBreakBefore/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</w:pPr>
            <w:r w:rsidRPr="00F016E4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lastRenderedPageBreak/>
              <w:t>CHILD PROTECTION</w:t>
            </w:r>
          </w:p>
        </w:tc>
      </w:tr>
      <w:tr w:rsidR="00B2393A" w:rsidRPr="008D1731" w:rsidTr="00381D63">
        <w:tblPrEx>
          <w:jc w:val="left"/>
        </w:tblPrEx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8.1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Birth registration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BR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under age 5 whose births are reported registered</w:t>
            </w:r>
          </w:p>
        </w:tc>
        <w:tc>
          <w:tcPr>
            <w:tcW w:w="1385" w:type="pct"/>
            <w:gridSpan w:val="2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under age 5</w:t>
            </w:r>
          </w:p>
        </w:tc>
        <w:tc>
          <w:tcPr>
            <w:tcW w:w="410" w:type="pct"/>
            <w:gridSpan w:val="2"/>
            <w:vAlign w:val="center"/>
          </w:tcPr>
          <w:p w:rsidR="00B2393A" w:rsidRPr="008D1731" w:rsidRDefault="00B2393A" w:rsidP="00B938BD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8.3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Violent discipline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CD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1-14 years who experienced psychological aggression or physical punishment during the last one month</w:t>
            </w:r>
          </w:p>
        </w:tc>
        <w:tc>
          <w:tcPr>
            <w:tcW w:w="1385" w:type="pct"/>
            <w:gridSpan w:val="2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number of children age 1-14 years </w:t>
            </w:r>
          </w:p>
        </w:tc>
        <w:tc>
          <w:tcPr>
            <w:tcW w:w="410" w:type="pct"/>
            <w:gridSpan w:val="2"/>
            <w:vAlign w:val="center"/>
          </w:tcPr>
          <w:p w:rsidR="00B2393A" w:rsidRPr="008D1731" w:rsidRDefault="00B2393A" w:rsidP="00B938BD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8.4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Marriage before age 15 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MA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who were first married before age 15</w:t>
            </w:r>
          </w:p>
        </w:tc>
        <w:tc>
          <w:tcPr>
            <w:tcW w:w="1385" w:type="pct"/>
            <w:gridSpan w:val="2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</w:t>
            </w:r>
          </w:p>
        </w:tc>
        <w:tc>
          <w:tcPr>
            <w:tcW w:w="410" w:type="pct"/>
            <w:gridSpan w:val="2"/>
            <w:vAlign w:val="center"/>
          </w:tcPr>
          <w:p w:rsidR="00B2393A" w:rsidRPr="008D1731" w:rsidRDefault="00B2393A" w:rsidP="00B938BD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8.5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Marriage before age 18 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MA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20-49 years who were first married before age 18</w:t>
            </w:r>
          </w:p>
        </w:tc>
        <w:tc>
          <w:tcPr>
            <w:tcW w:w="1385" w:type="pct"/>
            <w:gridSpan w:val="2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20-49 years</w:t>
            </w:r>
          </w:p>
        </w:tc>
        <w:tc>
          <w:tcPr>
            <w:tcW w:w="410" w:type="pct"/>
            <w:gridSpan w:val="2"/>
            <w:vAlign w:val="center"/>
          </w:tcPr>
          <w:p w:rsidR="00B2393A" w:rsidRPr="008D1731" w:rsidRDefault="00B2393A" w:rsidP="00B938BD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8.6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Young women age 15-19 years currently married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MA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women age 15-19 years who are married </w:t>
            </w:r>
          </w:p>
        </w:tc>
        <w:tc>
          <w:tcPr>
            <w:tcW w:w="1385" w:type="pct"/>
            <w:gridSpan w:val="2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15-19 years</w:t>
            </w:r>
          </w:p>
        </w:tc>
        <w:tc>
          <w:tcPr>
            <w:tcW w:w="410" w:type="pct"/>
            <w:gridSpan w:val="2"/>
            <w:vAlign w:val="center"/>
          </w:tcPr>
          <w:p w:rsidR="00B2393A" w:rsidRPr="008D1731" w:rsidRDefault="00B2393A" w:rsidP="00B938BD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8.7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Polygyny 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MA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women age 15-49 years who are in a </w:t>
            </w:r>
            <w:proofErr w:type="spellStart"/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polygynous</w:t>
            </w:r>
            <w:proofErr w:type="spellEnd"/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 w:cs="Arial"/>
                <w:sz w:val="16"/>
                <w:szCs w:val="16"/>
                <w:lang w:val="en-GB"/>
              </w:rPr>
              <w:t>marriage</w:t>
            </w:r>
          </w:p>
        </w:tc>
        <w:tc>
          <w:tcPr>
            <w:tcW w:w="1385" w:type="pct"/>
            <w:gridSpan w:val="2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number of women age 15-49 years who are married </w:t>
            </w:r>
          </w:p>
        </w:tc>
        <w:tc>
          <w:tcPr>
            <w:tcW w:w="410" w:type="pct"/>
            <w:gridSpan w:val="2"/>
            <w:vAlign w:val="center"/>
          </w:tcPr>
          <w:p w:rsidR="00B2393A" w:rsidRPr="008D1731" w:rsidRDefault="00B2393A" w:rsidP="00B938BD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c>
          <w:tcPr>
            <w:tcW w:w="225" w:type="pct"/>
            <w:gridSpan w:val="3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8.8a</w:t>
            </w:r>
          </w:p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8.8b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Spousal age difference 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MA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Number of women who are married and whose spouse is 10 or more years older, </w:t>
            </w:r>
          </w:p>
          <w:p w:rsidR="00B2393A" w:rsidRPr="00F016E4" w:rsidRDefault="00B2393A" w:rsidP="00B938BD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among women age 15-19 years, </w:t>
            </w:r>
          </w:p>
          <w:p w:rsidR="00B2393A" w:rsidRPr="00F016E4" w:rsidRDefault="00B2393A" w:rsidP="00B938BD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among women age 20-24 years</w:t>
            </w:r>
          </w:p>
        </w:tc>
        <w:tc>
          <w:tcPr>
            <w:tcW w:w="1385" w:type="pct"/>
            <w:gridSpan w:val="2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number of women who are married </w:t>
            </w:r>
          </w:p>
          <w:p w:rsidR="00B2393A" w:rsidRPr="00F016E4" w:rsidRDefault="00B2393A" w:rsidP="00B938BD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age 15-19 years,</w:t>
            </w:r>
          </w:p>
          <w:p w:rsidR="00B2393A" w:rsidRPr="00F016E4" w:rsidRDefault="00B2393A" w:rsidP="00B938BD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age 20-24 years</w:t>
            </w:r>
          </w:p>
        </w:tc>
        <w:tc>
          <w:tcPr>
            <w:tcW w:w="410" w:type="pct"/>
            <w:gridSpan w:val="2"/>
            <w:vAlign w:val="center"/>
          </w:tcPr>
          <w:p w:rsidR="00B2393A" w:rsidRPr="008D1731" w:rsidRDefault="00B2393A" w:rsidP="00B938BD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c>
          <w:tcPr>
            <w:tcW w:w="225" w:type="pct"/>
            <w:gridSpan w:val="3"/>
            <w:tcBorders>
              <w:right w:val="single" w:sz="4" w:space="0" w:color="auto"/>
              <w:tr2bl w:val="nil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8.13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Children’s living arrangements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HL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0-17 years living with neither biological parent</w:t>
            </w:r>
          </w:p>
        </w:tc>
        <w:tc>
          <w:tcPr>
            <w:tcW w:w="1385" w:type="pct"/>
            <w:gridSpan w:val="2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number of children age 0-17 years </w:t>
            </w:r>
          </w:p>
        </w:tc>
        <w:tc>
          <w:tcPr>
            <w:tcW w:w="410" w:type="pct"/>
            <w:gridSpan w:val="2"/>
            <w:vAlign w:val="center"/>
          </w:tcPr>
          <w:p w:rsidR="00B2393A" w:rsidRPr="008D1731" w:rsidRDefault="00B2393A" w:rsidP="00B938BD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c>
          <w:tcPr>
            <w:tcW w:w="225" w:type="pct"/>
            <w:gridSpan w:val="3"/>
            <w:tcBorders>
              <w:right w:val="single" w:sz="4" w:space="0" w:color="auto"/>
              <w:tr2bl w:val="nil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8.14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Prevalence of children with one or both parents dead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HL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age 0-17 years with one or both biological parents dead</w:t>
            </w:r>
          </w:p>
        </w:tc>
        <w:tc>
          <w:tcPr>
            <w:tcW w:w="1385" w:type="pct"/>
            <w:gridSpan w:val="2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age 0-17 years</w:t>
            </w:r>
          </w:p>
        </w:tc>
        <w:tc>
          <w:tcPr>
            <w:tcW w:w="410" w:type="pct"/>
            <w:gridSpan w:val="2"/>
            <w:vAlign w:val="center"/>
          </w:tcPr>
          <w:p w:rsidR="00B2393A" w:rsidRPr="008D1731" w:rsidRDefault="00B2393A" w:rsidP="00B938BD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c>
          <w:tcPr>
            <w:tcW w:w="225" w:type="pct"/>
            <w:gridSpan w:val="3"/>
            <w:tcBorders>
              <w:right w:val="single" w:sz="4" w:space="0" w:color="auto"/>
              <w:tr2bl w:val="nil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8.15</w:t>
            </w:r>
          </w:p>
        </w:tc>
        <w:tc>
          <w:tcPr>
            <w:tcW w:w="1090" w:type="pct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Children with at least one parent living abroad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HL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children 0-17 years with at least one biological parent living abroad</w:t>
            </w:r>
          </w:p>
        </w:tc>
        <w:tc>
          <w:tcPr>
            <w:tcW w:w="1385" w:type="pct"/>
            <w:gridSpan w:val="2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children 0-17 years</w:t>
            </w:r>
          </w:p>
        </w:tc>
        <w:tc>
          <w:tcPr>
            <w:tcW w:w="410" w:type="pct"/>
            <w:gridSpan w:val="2"/>
            <w:vAlign w:val="center"/>
          </w:tcPr>
          <w:p w:rsidR="00B2393A" w:rsidRPr="008D1731" w:rsidRDefault="00B2393A" w:rsidP="00B938BD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381D63">
        <w:tblPrEx>
          <w:jc w:val="left"/>
        </w:tblPrEx>
        <w:trPr>
          <w:trHeight w:val="242"/>
        </w:trPr>
        <w:tc>
          <w:tcPr>
            <w:tcW w:w="5000" w:type="pct"/>
            <w:gridSpan w:val="10"/>
            <w:shd w:val="clear" w:color="auto" w:fill="C6D9F1" w:themeFill="text2" w:themeFillTint="33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b/>
                <w:bCs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HIV/AIDS AND SEXUAL BEHAVIOUR</w:t>
            </w:r>
          </w:p>
        </w:tc>
      </w:tr>
      <w:tr w:rsidR="00B2393A" w:rsidRPr="008D1731" w:rsidTr="00C96FB6">
        <w:tblPrEx>
          <w:jc w:val="left"/>
        </w:tblPrEx>
        <w:tc>
          <w:tcPr>
            <w:tcW w:w="210" w:type="pct"/>
            <w:tcBorders>
              <w:right w:val="single" w:sz="4" w:space="0" w:color="auto"/>
              <w:tr2bl w:val="nil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9.1</w:t>
            </w:r>
          </w:p>
        </w:tc>
        <w:tc>
          <w:tcPr>
            <w:tcW w:w="1105" w:type="pct"/>
            <w:gridSpan w:val="3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Knowledge about HIV prevention among young women 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HA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15-24 years who correctly identify ways of preventing the sexual transmission of HIV</w:t>
            </w:r>
            <w:r w:rsidRPr="00F016E4">
              <w:rPr>
                <w:rFonts w:asciiTheme="minorHAnsi" w:hAnsiTheme="minorHAnsi"/>
              </w:rPr>
              <w:footnoteReference w:id="11"/>
            </w: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, and who reject major misconceptions about HIV transmission</w:t>
            </w:r>
          </w:p>
        </w:tc>
        <w:tc>
          <w:tcPr>
            <w:tcW w:w="1394" w:type="pct"/>
            <w:gridSpan w:val="3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Total number of women age 15-24 years </w:t>
            </w:r>
          </w:p>
        </w:tc>
        <w:tc>
          <w:tcPr>
            <w:tcW w:w="401" w:type="pct"/>
            <w:vAlign w:val="center"/>
          </w:tcPr>
          <w:p w:rsidR="00B2393A" w:rsidRPr="008D1731" w:rsidRDefault="00B2393A" w:rsidP="00B938BD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D1731">
              <w:rPr>
                <w:rFonts w:ascii="Arial" w:hAnsi="Arial" w:cs="Arial"/>
                <w:sz w:val="16"/>
                <w:szCs w:val="16"/>
                <w:lang w:val="en-GB"/>
              </w:rPr>
              <w:t>MDG 6.3</w:t>
            </w:r>
          </w:p>
        </w:tc>
      </w:tr>
      <w:tr w:rsidR="00B2393A" w:rsidRPr="008D1731" w:rsidTr="00C96FB6">
        <w:tblPrEx>
          <w:jc w:val="left"/>
        </w:tblPrEx>
        <w:tc>
          <w:tcPr>
            <w:tcW w:w="210" w:type="pct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lastRenderedPageBreak/>
              <w:t>9.2</w:t>
            </w:r>
          </w:p>
        </w:tc>
        <w:tc>
          <w:tcPr>
            <w:tcW w:w="1105" w:type="pct"/>
            <w:gridSpan w:val="3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Knowledge of mother-to-child transmission of HIV 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HA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who correctly identify all three means</w:t>
            </w:r>
            <w:r w:rsidRPr="00F016E4">
              <w:rPr>
                <w:rFonts w:asciiTheme="minorHAnsi" w:hAnsiTheme="minorHAnsi"/>
                <w:sz w:val="18"/>
                <w:szCs w:val="18"/>
                <w:vertAlign w:val="superscript"/>
              </w:rPr>
              <w:footnoteReference w:id="12"/>
            </w:r>
            <w:r w:rsidRPr="00F016E4">
              <w:rPr>
                <w:rFonts w:asciiTheme="minorHAnsi" w:hAnsiTheme="minorHAnsi" w:cs="Arial"/>
                <w:sz w:val="18"/>
                <w:szCs w:val="18"/>
                <w:vertAlign w:val="superscript"/>
                <w:lang w:val="en-GB"/>
              </w:rPr>
              <w:t xml:space="preserve"> </w:t>
            </w: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of mother-to-child transmission of HIV</w:t>
            </w:r>
          </w:p>
        </w:tc>
        <w:tc>
          <w:tcPr>
            <w:tcW w:w="1394" w:type="pct"/>
            <w:gridSpan w:val="3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</w:t>
            </w:r>
          </w:p>
        </w:tc>
        <w:tc>
          <w:tcPr>
            <w:tcW w:w="401" w:type="pct"/>
            <w:vAlign w:val="center"/>
          </w:tcPr>
          <w:p w:rsidR="00B2393A" w:rsidRPr="008D1731" w:rsidRDefault="00B2393A" w:rsidP="00B938BD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2393A" w:rsidRPr="008D1731" w:rsidTr="00C96FB6">
        <w:tblPrEx>
          <w:jc w:val="left"/>
        </w:tblPrEx>
        <w:tc>
          <w:tcPr>
            <w:tcW w:w="210" w:type="pct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9.3</w:t>
            </w:r>
          </w:p>
        </w:tc>
        <w:tc>
          <w:tcPr>
            <w:tcW w:w="1105" w:type="pct"/>
            <w:gridSpan w:val="3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Accepting attitudes towards people living with HIV 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HA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expressing accepting attitudes on all four questions</w:t>
            </w:r>
            <w:r w:rsidRPr="00F016E4">
              <w:rPr>
                <w:rFonts w:asciiTheme="minorHAnsi" w:hAnsiTheme="minorHAnsi"/>
                <w:sz w:val="18"/>
                <w:szCs w:val="18"/>
                <w:vertAlign w:val="superscript"/>
              </w:rPr>
              <w:footnoteReference w:id="13"/>
            </w:r>
            <w:r w:rsidRPr="00F016E4">
              <w:rPr>
                <w:rFonts w:asciiTheme="minorHAnsi" w:hAnsiTheme="minorHAnsi" w:cs="Arial"/>
                <w:sz w:val="18"/>
                <w:szCs w:val="18"/>
                <w:vertAlign w:val="superscript"/>
                <w:lang w:val="en-GB"/>
              </w:rPr>
              <w:t xml:space="preserve"> </w:t>
            </w: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toward people living with HIV</w:t>
            </w:r>
          </w:p>
        </w:tc>
        <w:tc>
          <w:tcPr>
            <w:tcW w:w="1394" w:type="pct"/>
            <w:gridSpan w:val="3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 who have heard of HIV</w:t>
            </w:r>
          </w:p>
        </w:tc>
        <w:tc>
          <w:tcPr>
            <w:tcW w:w="401" w:type="pct"/>
            <w:vAlign w:val="center"/>
          </w:tcPr>
          <w:p w:rsidR="00B2393A" w:rsidRPr="008D1731" w:rsidRDefault="00B2393A" w:rsidP="00B938BD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  <w:lang w:val="en-GB"/>
              </w:rPr>
            </w:pPr>
          </w:p>
        </w:tc>
      </w:tr>
      <w:tr w:rsidR="00B2393A" w:rsidRPr="008D1731" w:rsidTr="00C96FB6">
        <w:tblPrEx>
          <w:jc w:val="left"/>
        </w:tblPrEx>
        <w:tc>
          <w:tcPr>
            <w:tcW w:w="210" w:type="pct"/>
            <w:tcBorders>
              <w:right w:val="single" w:sz="4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9.4</w:t>
            </w:r>
          </w:p>
        </w:tc>
        <w:tc>
          <w:tcPr>
            <w:tcW w:w="1105" w:type="pct"/>
            <w:gridSpan w:val="3"/>
            <w:tcBorders>
              <w:left w:val="single" w:sz="4" w:space="0" w:color="auto"/>
            </w:tcBorders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 xml:space="preserve">Women who know where to be tested for HIV </w:t>
            </w:r>
          </w:p>
        </w:tc>
        <w:tc>
          <w:tcPr>
            <w:tcW w:w="357" w:type="pct"/>
            <w:vAlign w:val="center"/>
          </w:tcPr>
          <w:p w:rsidR="00B2393A" w:rsidRPr="00F016E4" w:rsidRDefault="00B2393A" w:rsidP="00B938BD">
            <w:pPr>
              <w:jc w:val="center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HA</w:t>
            </w:r>
          </w:p>
        </w:tc>
        <w:tc>
          <w:tcPr>
            <w:tcW w:w="1533" w:type="pct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Number of women age 15-49 years who state knowledge of a place to be tested for HIV</w:t>
            </w:r>
          </w:p>
        </w:tc>
        <w:tc>
          <w:tcPr>
            <w:tcW w:w="1394" w:type="pct"/>
            <w:gridSpan w:val="3"/>
            <w:vAlign w:val="center"/>
          </w:tcPr>
          <w:p w:rsidR="00B2393A" w:rsidRPr="00F016E4" w:rsidRDefault="00B2393A" w:rsidP="00B938BD">
            <w:pPr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  <w:r w:rsidRPr="00F016E4">
              <w:rPr>
                <w:rFonts w:asciiTheme="minorHAnsi" w:hAnsiTheme="minorHAnsi" w:cs="Arial"/>
                <w:sz w:val="16"/>
                <w:szCs w:val="16"/>
                <w:lang w:val="en-GB"/>
              </w:rPr>
              <w:t>Total number of women age 15-49 years</w:t>
            </w:r>
          </w:p>
        </w:tc>
        <w:tc>
          <w:tcPr>
            <w:tcW w:w="401" w:type="pct"/>
            <w:vAlign w:val="center"/>
          </w:tcPr>
          <w:p w:rsidR="00B2393A" w:rsidRPr="008D1731" w:rsidRDefault="00B2393A" w:rsidP="00B938BD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:rsidR="00F719AB" w:rsidRPr="008D1731" w:rsidRDefault="00F719AB" w:rsidP="00F719AB"/>
    <w:p w:rsidR="00AE6F0D" w:rsidRPr="00663944" w:rsidRDefault="00AE6F0D" w:rsidP="00115386">
      <w:pPr>
        <w:spacing w:line="264" w:lineRule="auto"/>
        <w:rPr>
          <w:rFonts w:ascii="Calibri" w:hAnsi="Calibri"/>
        </w:rPr>
      </w:pPr>
    </w:p>
    <w:sectPr w:rsidR="00AE6F0D" w:rsidRPr="00663944" w:rsidSect="00005713">
      <w:footerReference w:type="default" r:id="rId7"/>
      <w:pgSz w:w="16838" w:h="11906" w:orient="landscape"/>
      <w:pgMar w:top="1440" w:right="1440" w:bottom="1440" w:left="1440" w:header="720" w:footer="720" w:gutter="0"/>
      <w:pgNumType w:start="221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8B4BEC" w15:done="0"/>
  <w15:commentEx w15:paraId="50EC7081" w15:done="0"/>
  <w15:commentEx w15:paraId="19A4E18D" w15:done="0"/>
  <w15:commentEx w15:paraId="656DAC25" w15:done="0"/>
  <w15:commentEx w15:paraId="3B72040C" w15:done="0"/>
  <w15:commentEx w15:paraId="20121CD3" w15:done="0"/>
  <w15:commentEx w15:paraId="71E883AC" w15:done="0"/>
  <w15:commentEx w15:paraId="00104018" w15:done="0"/>
  <w15:commentEx w15:paraId="0A778DB2" w15:done="0"/>
  <w15:commentEx w15:paraId="2783A941" w15:done="0"/>
  <w15:commentEx w15:paraId="0100DD9B" w15:done="0"/>
  <w15:commentEx w15:paraId="19422D0C" w15:done="0"/>
  <w15:commentEx w15:paraId="1AC6DF82" w15:done="0"/>
  <w15:commentEx w15:paraId="3A990802" w15:done="0"/>
  <w15:commentEx w15:paraId="1BD4F69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489" w:rsidRDefault="00674489" w:rsidP="00F719AB">
      <w:r>
        <w:separator/>
      </w:r>
    </w:p>
  </w:endnote>
  <w:endnote w:type="continuationSeparator" w:id="0">
    <w:p w:rsidR="00674489" w:rsidRDefault="00674489" w:rsidP="00F71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49407"/>
      <w:docPartObj>
        <w:docPartGallery w:val="Page Numbers (Bottom of Page)"/>
        <w:docPartUnique/>
      </w:docPartObj>
    </w:sdtPr>
    <w:sdtContent>
      <w:p w:rsidR="00B2393A" w:rsidRDefault="007415DB">
        <w:pPr>
          <w:pStyle w:val="Footer"/>
          <w:jc w:val="right"/>
        </w:pPr>
        <w:fldSimple w:instr=" PAGE   \* MERGEFORMAT ">
          <w:r w:rsidR="00C96FB6">
            <w:rPr>
              <w:noProof/>
            </w:rPr>
            <w:t>230</w:t>
          </w:r>
        </w:fldSimple>
      </w:p>
    </w:sdtContent>
  </w:sdt>
  <w:p w:rsidR="00B2393A" w:rsidRDefault="00B239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489" w:rsidRDefault="00674489" w:rsidP="00F719AB">
      <w:r>
        <w:separator/>
      </w:r>
    </w:p>
  </w:footnote>
  <w:footnote w:type="continuationSeparator" w:id="0">
    <w:p w:rsidR="00674489" w:rsidRDefault="00674489" w:rsidP="00F719AB">
      <w:r>
        <w:continuationSeparator/>
      </w:r>
    </w:p>
  </w:footnote>
  <w:footnote w:id="1">
    <w:p w:rsidR="00B2393A" w:rsidRDefault="00B2393A" w:rsidP="00F719AB">
      <w:pPr>
        <w:pStyle w:val="FootnoteText"/>
      </w:pPr>
      <w:r w:rsidRPr="00ED163B">
        <w:rPr>
          <w:rStyle w:val="FootnoteReference"/>
          <w:rFonts w:ascii="Arial" w:hAnsi="Arial" w:cs="Arial"/>
        </w:rPr>
        <w:footnoteRef/>
      </w:r>
      <w:r w:rsidRPr="00ED163B">
        <w:rPr>
          <w:rFonts w:ascii="Arial" w:hAnsi="Arial" w:cs="Arial"/>
        </w:rPr>
        <w:t xml:space="preserve"> </w:t>
      </w:r>
      <w:r w:rsidRPr="00484609">
        <w:rPr>
          <w:rFonts w:ascii="Arial" w:hAnsi="Arial" w:cs="Arial"/>
          <w:sz w:val="16"/>
          <w:szCs w:val="16"/>
        </w:rPr>
        <w:t xml:space="preserve">Some indicators </w:t>
      </w:r>
      <w:r>
        <w:rPr>
          <w:rFonts w:ascii="Arial" w:hAnsi="Arial" w:cs="Arial"/>
          <w:sz w:val="16"/>
          <w:szCs w:val="16"/>
        </w:rPr>
        <w:t>are c</w:t>
      </w:r>
      <w:r w:rsidRPr="00484609">
        <w:rPr>
          <w:rFonts w:ascii="Arial" w:hAnsi="Arial" w:cs="Arial"/>
          <w:sz w:val="16"/>
          <w:szCs w:val="16"/>
        </w:rPr>
        <w:t xml:space="preserve">onstructed </w:t>
      </w:r>
      <w:r>
        <w:rPr>
          <w:rFonts w:ascii="Arial" w:hAnsi="Arial" w:cs="Arial"/>
          <w:sz w:val="16"/>
          <w:szCs w:val="16"/>
        </w:rPr>
        <w:t xml:space="preserve">by </w:t>
      </w:r>
      <w:r w:rsidRPr="00484609">
        <w:rPr>
          <w:rFonts w:ascii="Arial" w:hAnsi="Arial" w:cs="Arial"/>
          <w:sz w:val="16"/>
          <w:szCs w:val="16"/>
        </w:rPr>
        <w:t xml:space="preserve">using questions in </w:t>
      </w:r>
      <w:r>
        <w:rPr>
          <w:rFonts w:ascii="Arial" w:hAnsi="Arial" w:cs="Arial"/>
          <w:sz w:val="16"/>
          <w:szCs w:val="16"/>
        </w:rPr>
        <w:t>several modules in the MICS questionnaires</w:t>
      </w:r>
      <w:r w:rsidRPr="00484609">
        <w:rPr>
          <w:rFonts w:ascii="Arial" w:hAnsi="Arial" w:cs="Arial"/>
          <w:sz w:val="16"/>
          <w:szCs w:val="16"/>
        </w:rPr>
        <w:t xml:space="preserve">. In such cases, only </w:t>
      </w:r>
      <w:r>
        <w:rPr>
          <w:rFonts w:ascii="Arial" w:hAnsi="Arial" w:cs="Arial"/>
          <w:sz w:val="16"/>
          <w:szCs w:val="16"/>
        </w:rPr>
        <w:t xml:space="preserve">the </w:t>
      </w:r>
      <w:r w:rsidRPr="009D2EC5">
        <w:rPr>
          <w:rFonts w:ascii="Arial" w:hAnsi="Arial" w:cs="Arial"/>
          <w:sz w:val="16"/>
          <w:szCs w:val="16"/>
        </w:rPr>
        <w:t>module</w:t>
      </w:r>
      <w:r>
        <w:rPr>
          <w:rFonts w:ascii="Arial" w:hAnsi="Arial" w:cs="Arial"/>
          <w:sz w:val="16"/>
          <w:szCs w:val="16"/>
        </w:rPr>
        <w:t>(s) which contains most of the necessary information is indicated.</w:t>
      </w:r>
    </w:p>
  </w:footnote>
  <w:footnote w:id="2">
    <w:p w:rsidR="00B2393A" w:rsidRDefault="00B2393A" w:rsidP="00F719AB">
      <w:pPr>
        <w:pStyle w:val="FootnoteText"/>
      </w:pPr>
      <w:r w:rsidRPr="00ED163B">
        <w:rPr>
          <w:rStyle w:val="FootnoteReference"/>
          <w:rFonts w:ascii="Arial" w:hAnsi="Arial" w:cs="Arial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Millennium Development Goals (MDG) indicators, effective 15 January 2008 - </w:t>
      </w:r>
      <w:hyperlink r:id="rId1" w:history="1">
        <w:r w:rsidRPr="00806A28">
          <w:rPr>
            <w:rStyle w:val="Hyperlink"/>
            <w:rFonts w:ascii="Arial" w:hAnsi="Arial" w:cs="Arial"/>
            <w:sz w:val="16"/>
            <w:szCs w:val="16"/>
          </w:rPr>
          <w:t>http://mdgs.un.org/unsd/mdg/Host.aspx?Content=Indicators/OfficialList.htm</w:t>
        </w:r>
      </w:hyperlink>
      <w:r>
        <w:rPr>
          <w:rStyle w:val="Hyperlink"/>
          <w:rFonts w:ascii="Arial" w:hAnsi="Arial" w:cs="Arial"/>
          <w:sz w:val="16"/>
          <w:szCs w:val="16"/>
        </w:rPr>
        <w:t xml:space="preserve">, </w:t>
      </w:r>
      <w:r w:rsidRPr="00716159">
        <w:rPr>
          <w:rStyle w:val="Hyperlink"/>
          <w:rFonts w:ascii="Arial" w:hAnsi="Arial" w:cs="Arial"/>
          <w:color w:val="000000" w:themeColor="text1"/>
          <w:sz w:val="16"/>
          <w:szCs w:val="16"/>
        </w:rPr>
        <w:t>accessed 10 June 2013</w:t>
      </w:r>
      <w:r>
        <w:rPr>
          <w:rStyle w:val="Hyperlink"/>
          <w:rFonts w:ascii="Arial" w:hAnsi="Arial" w:cs="Arial"/>
          <w:color w:val="000000" w:themeColor="text1"/>
          <w:sz w:val="16"/>
          <w:szCs w:val="16"/>
        </w:rPr>
        <w:t>.</w:t>
      </w:r>
    </w:p>
  </w:footnote>
  <w:footnote w:id="3">
    <w:p w:rsidR="00B2393A" w:rsidRPr="00C0295F" w:rsidRDefault="00B2393A" w:rsidP="00F719AB">
      <w:pPr>
        <w:pStyle w:val="FootnoteText"/>
        <w:rPr>
          <w:rFonts w:ascii="Arial" w:hAnsi="Arial" w:cs="Arial"/>
          <w:sz w:val="16"/>
          <w:szCs w:val="16"/>
        </w:rPr>
      </w:pPr>
      <w:r w:rsidRPr="007478DA">
        <w:rPr>
          <w:rStyle w:val="FootnoteReference"/>
          <w:rFonts w:ascii="Arial" w:hAnsi="Arial" w:cs="Arial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When the Birth History module is used, mortality i</w:t>
      </w:r>
      <w:r w:rsidRPr="00C0295F">
        <w:rPr>
          <w:rFonts w:ascii="Arial" w:hAnsi="Arial" w:cs="Arial"/>
          <w:sz w:val="16"/>
          <w:szCs w:val="16"/>
        </w:rPr>
        <w:t>ndicator</w:t>
      </w:r>
      <w:r>
        <w:rPr>
          <w:rFonts w:ascii="Arial" w:hAnsi="Arial" w:cs="Arial"/>
          <w:sz w:val="16"/>
          <w:szCs w:val="16"/>
        </w:rPr>
        <w:t>s</w:t>
      </w:r>
      <w:r w:rsidRPr="00C0295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are</w:t>
      </w:r>
      <w:r w:rsidRPr="00C0295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calculated for </w:t>
      </w:r>
      <w:r w:rsidRPr="00933D58">
        <w:rPr>
          <w:rFonts w:ascii="Arial" w:hAnsi="Arial" w:cs="Arial"/>
          <w:sz w:val="16"/>
          <w:szCs w:val="16"/>
          <w:lang w:val="en-GB"/>
        </w:rPr>
        <w:t xml:space="preserve">the </w:t>
      </w:r>
      <w:r>
        <w:rPr>
          <w:rFonts w:ascii="Arial" w:hAnsi="Arial" w:cs="Arial"/>
          <w:sz w:val="16"/>
          <w:szCs w:val="16"/>
          <w:lang w:val="en-GB"/>
        </w:rPr>
        <w:t xml:space="preserve">last </w:t>
      </w:r>
      <w:r w:rsidRPr="00933D58">
        <w:rPr>
          <w:rFonts w:ascii="Arial" w:hAnsi="Arial" w:cs="Arial"/>
          <w:sz w:val="16"/>
          <w:szCs w:val="16"/>
          <w:lang w:val="en-GB"/>
        </w:rPr>
        <w:t>5</w:t>
      </w:r>
      <w:r>
        <w:rPr>
          <w:rFonts w:ascii="Arial" w:hAnsi="Arial" w:cs="Arial"/>
          <w:sz w:val="16"/>
          <w:szCs w:val="16"/>
          <w:lang w:val="en-GB"/>
        </w:rPr>
        <w:t>-</w:t>
      </w:r>
      <w:r w:rsidRPr="00933D58">
        <w:rPr>
          <w:rFonts w:ascii="Arial" w:hAnsi="Arial" w:cs="Arial"/>
          <w:sz w:val="16"/>
          <w:szCs w:val="16"/>
          <w:lang w:val="en-GB"/>
        </w:rPr>
        <w:t>year</w:t>
      </w:r>
      <w:r>
        <w:rPr>
          <w:rFonts w:ascii="Arial" w:hAnsi="Arial" w:cs="Arial"/>
          <w:sz w:val="16"/>
          <w:szCs w:val="16"/>
          <w:lang w:val="en-GB"/>
        </w:rPr>
        <w:t xml:space="preserve"> period. When the indicators are estimated indirectly (using the Fertility module only), the rates refer to dates as estimated by the indirect technique.</w:t>
      </w:r>
    </w:p>
  </w:footnote>
  <w:footnote w:id="4">
    <w:p w:rsidR="00B2393A" w:rsidRPr="007C106E" w:rsidRDefault="00B2393A" w:rsidP="00F719AB">
      <w:pPr>
        <w:pStyle w:val="FootnoteText"/>
        <w:rPr>
          <w:rFonts w:asciiTheme="minorHAnsi" w:hAnsiTheme="minorHAnsi" w:cs="Arial"/>
          <w:sz w:val="16"/>
          <w:szCs w:val="16"/>
          <w:lang w:val="en-GB"/>
        </w:rPr>
      </w:pPr>
      <w:r w:rsidRPr="00ED163B">
        <w:rPr>
          <w:rStyle w:val="FootnoteReference"/>
          <w:rFonts w:ascii="Arial" w:hAnsi="Arial" w:cs="Arial"/>
        </w:rPr>
        <w:footnoteRef/>
      </w:r>
      <w:r w:rsidRPr="00ED163B">
        <w:rPr>
          <w:rStyle w:val="FootnoteReference"/>
          <w:rFonts w:ascii="Arial" w:hAnsi="Arial" w:cs="Arial"/>
        </w:rPr>
        <w:t xml:space="preserve"> </w:t>
      </w:r>
      <w:r w:rsidRPr="007C106E">
        <w:rPr>
          <w:rFonts w:asciiTheme="minorHAnsi" w:hAnsiTheme="minorHAnsi" w:cs="Arial"/>
          <w:sz w:val="16"/>
          <w:szCs w:val="16"/>
          <w:lang w:val="en-GB"/>
        </w:rPr>
        <w:t>Infants receiving breast milk, and not receiving any other fluids or foods, with the exception of oral rehydration solution, vitamins, mineral supplements and medicines</w:t>
      </w:r>
    </w:p>
  </w:footnote>
  <w:footnote w:id="5">
    <w:p w:rsidR="00B2393A" w:rsidRPr="007C106E" w:rsidRDefault="00B2393A" w:rsidP="00F719AB">
      <w:pPr>
        <w:pStyle w:val="FootnoteText"/>
        <w:rPr>
          <w:rFonts w:asciiTheme="minorHAnsi" w:hAnsiTheme="minorHAnsi" w:cs="Arial"/>
          <w:sz w:val="16"/>
          <w:szCs w:val="16"/>
          <w:lang w:val="en-GB"/>
        </w:rPr>
      </w:pPr>
      <w:r w:rsidRPr="007C106E">
        <w:rPr>
          <w:rFonts w:asciiTheme="minorHAnsi" w:hAnsiTheme="minorHAnsi"/>
          <w:sz w:val="16"/>
          <w:szCs w:val="16"/>
          <w:lang w:val="en-GB"/>
        </w:rPr>
        <w:footnoteRef/>
      </w:r>
      <w:r w:rsidRPr="007C106E">
        <w:rPr>
          <w:rFonts w:asciiTheme="minorHAnsi" w:hAnsiTheme="minorHAnsi"/>
          <w:sz w:val="16"/>
          <w:szCs w:val="16"/>
          <w:lang w:val="en-GB"/>
        </w:rPr>
        <w:t xml:space="preserve"> </w:t>
      </w:r>
      <w:r w:rsidRPr="007C106E">
        <w:rPr>
          <w:rFonts w:asciiTheme="minorHAnsi" w:hAnsiTheme="minorHAnsi" w:cs="Arial"/>
          <w:sz w:val="16"/>
          <w:szCs w:val="16"/>
          <w:lang w:val="en-GB"/>
        </w:rPr>
        <w:t>Infants who receive breast milk and certain fluids (water and water-based drinks, fruit juice, ritual fluids, oral rehydration solution, drops, vitamins, minerals, and medicines), but do not receive anything else (in particular, non-human milk and food-based fluids)</w:t>
      </w:r>
    </w:p>
  </w:footnote>
  <w:footnote w:id="6">
    <w:p w:rsidR="00B2393A" w:rsidRDefault="00B2393A" w:rsidP="00F719AB">
      <w:pPr>
        <w:pStyle w:val="FootnoteText"/>
      </w:pPr>
      <w:r w:rsidRPr="007C106E">
        <w:rPr>
          <w:rFonts w:asciiTheme="minorHAnsi" w:hAnsiTheme="minorHAnsi"/>
          <w:sz w:val="16"/>
          <w:szCs w:val="16"/>
          <w:lang w:val="en-GB"/>
        </w:rPr>
        <w:footnoteRef/>
      </w:r>
      <w:r w:rsidRPr="007C106E">
        <w:rPr>
          <w:rFonts w:asciiTheme="minorHAnsi" w:hAnsiTheme="minorHAnsi"/>
          <w:sz w:val="16"/>
          <w:szCs w:val="16"/>
          <w:lang w:val="en-GB"/>
        </w:rPr>
        <w:t xml:space="preserve"> </w:t>
      </w:r>
      <w:r w:rsidRPr="007C106E">
        <w:rPr>
          <w:rFonts w:asciiTheme="minorHAnsi" w:hAnsiTheme="minorHAnsi" w:cs="Arial"/>
          <w:sz w:val="16"/>
          <w:szCs w:val="16"/>
          <w:lang w:val="en-GB"/>
        </w:rPr>
        <w:t>Infants age 0-5 months who are exclusively breastfed, and children age 6-23 months</w:t>
      </w:r>
      <w:r w:rsidRPr="00761315">
        <w:rPr>
          <w:rFonts w:ascii="Arial" w:hAnsi="Arial" w:cs="Arial"/>
          <w:sz w:val="16"/>
          <w:szCs w:val="16"/>
        </w:rPr>
        <w:t xml:space="preserve"> who are breastfed and ate solid, semi-solid or soft foods</w:t>
      </w:r>
    </w:p>
  </w:footnote>
  <w:footnote w:id="7">
    <w:p w:rsidR="00B2393A" w:rsidRPr="007C106E" w:rsidRDefault="00B2393A" w:rsidP="00F719AB">
      <w:pPr>
        <w:pStyle w:val="FootnoteText"/>
        <w:rPr>
          <w:rFonts w:asciiTheme="minorHAnsi" w:hAnsiTheme="minorHAnsi" w:cs="Arial"/>
          <w:sz w:val="16"/>
          <w:szCs w:val="16"/>
          <w:lang w:val="en-GB"/>
        </w:rPr>
      </w:pPr>
      <w:r w:rsidRPr="00ED163B">
        <w:rPr>
          <w:rStyle w:val="FootnoteReference"/>
          <w:rFonts w:ascii="Arial" w:hAnsi="Arial" w:cs="Arial"/>
        </w:rPr>
        <w:footnoteRef/>
      </w:r>
      <w:r w:rsidRPr="00ED163B">
        <w:rPr>
          <w:rStyle w:val="FootnoteReference"/>
        </w:rPr>
        <w:t xml:space="preserve"> </w:t>
      </w:r>
      <w:r w:rsidRPr="007C106E">
        <w:rPr>
          <w:rFonts w:asciiTheme="minorHAnsi" w:hAnsiTheme="minorHAnsi" w:cs="Arial"/>
          <w:sz w:val="16"/>
          <w:szCs w:val="16"/>
          <w:lang w:val="en-GB"/>
        </w:rPr>
        <w:t>Breastfeeding children: Solid, semi-solid, or soft foods, two times for infants age 6-8 months, and three times for children 9-23 months; Non-breastfeeding children: Solid, semi-solid, or soft foods, or milk feeds, four times for children age 6-23 months</w:t>
      </w:r>
    </w:p>
  </w:footnote>
  <w:footnote w:id="8">
    <w:p w:rsidR="00B2393A" w:rsidRPr="007C106E" w:rsidRDefault="00B2393A" w:rsidP="00F719AB">
      <w:pPr>
        <w:pStyle w:val="FootnoteText"/>
        <w:rPr>
          <w:rFonts w:asciiTheme="minorHAnsi" w:hAnsiTheme="minorHAnsi" w:cs="Arial"/>
          <w:sz w:val="16"/>
          <w:szCs w:val="16"/>
          <w:lang w:val="en-GB"/>
        </w:rPr>
      </w:pPr>
      <w:r w:rsidRPr="007C106E">
        <w:rPr>
          <w:rFonts w:asciiTheme="minorHAnsi" w:hAnsiTheme="minorHAnsi"/>
          <w:sz w:val="16"/>
          <w:szCs w:val="16"/>
          <w:lang w:val="en-GB"/>
        </w:rPr>
        <w:footnoteRef/>
      </w:r>
      <w:r w:rsidRPr="007C106E">
        <w:rPr>
          <w:rFonts w:asciiTheme="minorHAnsi" w:hAnsiTheme="minorHAnsi" w:cs="Arial"/>
          <w:sz w:val="16"/>
          <w:szCs w:val="16"/>
          <w:lang w:val="en-GB"/>
        </w:rPr>
        <w:t xml:space="preserve"> The indicator is based on consumption of any amount of food from at least 4 out of the 7 following food groups: 1) grains, roots and tubers, 2) legumes and nuts, 3) dairy products (milk, yogurt, cheese), 4) flesh foods (meat</w:t>
      </w:r>
      <w:r w:rsidRPr="00D44C14">
        <w:rPr>
          <w:rFonts w:ascii="Arial" w:hAnsi="Arial" w:cs="Arial"/>
          <w:sz w:val="16"/>
          <w:szCs w:val="16"/>
        </w:rPr>
        <w:t xml:space="preserve">, </w:t>
      </w:r>
      <w:r w:rsidRPr="007C106E">
        <w:rPr>
          <w:rFonts w:asciiTheme="minorHAnsi" w:hAnsiTheme="minorHAnsi" w:cs="Arial"/>
          <w:sz w:val="16"/>
          <w:szCs w:val="16"/>
          <w:lang w:val="en-GB"/>
        </w:rPr>
        <w:t>fish, poultry and liver/organ meats), 5) eggs, 6) vitamin-A rich fruits and vegetables, and 7) other fruits and vegetables</w:t>
      </w:r>
    </w:p>
  </w:footnote>
  <w:footnote w:id="9">
    <w:p w:rsidR="00B2393A" w:rsidRDefault="00B2393A" w:rsidP="00F719AB">
      <w:pPr>
        <w:pStyle w:val="FootnoteText"/>
      </w:pPr>
      <w:r w:rsidRPr="003716CF">
        <w:rPr>
          <w:rStyle w:val="FootnoteReference"/>
          <w:rFonts w:ascii="Arial" w:hAnsi="Arial" w:cs="Arial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When the Birth History module is used, the indicator is calculated for the last 3-year period. </w:t>
      </w:r>
      <w:r>
        <w:rPr>
          <w:rFonts w:ascii="Arial" w:hAnsi="Arial" w:cs="Arial"/>
          <w:sz w:val="16"/>
          <w:szCs w:val="16"/>
          <w:lang w:val="en-GB"/>
        </w:rPr>
        <w:t>When estimated using the Fertility module only, the rate refers to the last one year</w:t>
      </w:r>
    </w:p>
  </w:footnote>
  <w:footnote w:id="10">
    <w:p w:rsidR="00B2393A" w:rsidRDefault="00B2393A" w:rsidP="007C106E">
      <w:r w:rsidRPr="007C106E">
        <w:rPr>
          <w:rFonts w:asciiTheme="minorHAnsi" w:hAnsiTheme="minorHAnsi"/>
          <w:sz w:val="16"/>
          <w:szCs w:val="16"/>
          <w:vertAlign w:val="superscript"/>
          <w:lang w:val="en-GB"/>
        </w:rPr>
        <w:footnoteRef/>
      </w:r>
      <w:r w:rsidRPr="007C106E">
        <w:rPr>
          <w:rFonts w:asciiTheme="minorHAnsi" w:hAnsiTheme="minorHAnsi" w:cs="Arial"/>
          <w:sz w:val="16"/>
          <w:szCs w:val="16"/>
          <w:lang w:val="en-GB"/>
        </w:rPr>
        <w:t xml:space="preserve"> See the MICS tabulation plan for a detailed description</w:t>
      </w:r>
    </w:p>
  </w:footnote>
  <w:footnote w:id="11">
    <w:p w:rsidR="00B2393A" w:rsidRPr="00F016E4" w:rsidRDefault="00B2393A" w:rsidP="00F719AB">
      <w:pPr>
        <w:pStyle w:val="FootnoteText"/>
        <w:rPr>
          <w:rFonts w:asciiTheme="minorHAnsi" w:hAnsiTheme="minorHAnsi" w:cs="Arial"/>
          <w:sz w:val="16"/>
          <w:szCs w:val="16"/>
          <w:lang w:val="en-GB"/>
        </w:rPr>
      </w:pPr>
      <w:r w:rsidRPr="00F016E4">
        <w:rPr>
          <w:rFonts w:asciiTheme="minorHAnsi" w:hAnsiTheme="minorHAnsi"/>
          <w:sz w:val="16"/>
          <w:szCs w:val="16"/>
          <w:vertAlign w:val="superscript"/>
          <w:lang w:val="en-GB"/>
        </w:rPr>
        <w:footnoteRef/>
      </w:r>
      <w:r w:rsidRPr="00F016E4">
        <w:rPr>
          <w:rFonts w:asciiTheme="minorHAnsi" w:hAnsiTheme="minorHAnsi"/>
          <w:sz w:val="16"/>
          <w:szCs w:val="16"/>
          <w:vertAlign w:val="superscript"/>
          <w:lang w:val="en-GB"/>
        </w:rPr>
        <w:t xml:space="preserve"> </w:t>
      </w:r>
      <w:r w:rsidRPr="00F016E4">
        <w:rPr>
          <w:rFonts w:asciiTheme="minorHAnsi" w:hAnsiTheme="minorHAnsi" w:cs="Arial"/>
          <w:sz w:val="16"/>
          <w:szCs w:val="16"/>
          <w:lang w:val="en-GB"/>
        </w:rPr>
        <w:t>Using condoms and limiting sex to one faithful, uninfected partner</w:t>
      </w:r>
    </w:p>
  </w:footnote>
  <w:footnote w:id="12">
    <w:p w:rsidR="00B2393A" w:rsidRPr="00F016E4" w:rsidRDefault="00B2393A" w:rsidP="00F719AB">
      <w:pPr>
        <w:pStyle w:val="FootnoteText"/>
        <w:rPr>
          <w:rFonts w:asciiTheme="minorHAnsi" w:hAnsiTheme="minorHAnsi"/>
          <w:sz w:val="18"/>
          <w:szCs w:val="18"/>
        </w:rPr>
      </w:pPr>
      <w:r w:rsidRPr="00F016E4">
        <w:rPr>
          <w:rStyle w:val="FootnoteReference"/>
          <w:rFonts w:asciiTheme="minorHAnsi" w:hAnsiTheme="minorHAnsi" w:cs="Arial"/>
          <w:sz w:val="18"/>
          <w:szCs w:val="18"/>
        </w:rPr>
        <w:footnoteRef/>
      </w:r>
      <w:r w:rsidRPr="00F016E4">
        <w:rPr>
          <w:sz w:val="18"/>
          <w:szCs w:val="18"/>
        </w:rPr>
        <w:t xml:space="preserve"> </w:t>
      </w:r>
      <w:r w:rsidRPr="00F016E4">
        <w:rPr>
          <w:rFonts w:asciiTheme="minorHAnsi" w:hAnsiTheme="minorHAnsi" w:cs="Arial"/>
          <w:sz w:val="18"/>
          <w:szCs w:val="18"/>
        </w:rPr>
        <w:t>Transmission during pregnancy, during delivery, and by breastfeeding</w:t>
      </w:r>
    </w:p>
  </w:footnote>
  <w:footnote w:id="13">
    <w:p w:rsidR="00B2393A" w:rsidRPr="00F016E4" w:rsidRDefault="00B2393A" w:rsidP="00F719AB">
      <w:pPr>
        <w:pStyle w:val="FootnoteText"/>
        <w:rPr>
          <w:rFonts w:asciiTheme="minorHAnsi" w:hAnsiTheme="minorHAnsi" w:cs="Arial"/>
          <w:sz w:val="18"/>
          <w:szCs w:val="18"/>
        </w:rPr>
      </w:pPr>
      <w:r w:rsidRPr="00F016E4">
        <w:rPr>
          <w:rStyle w:val="FootnoteReference"/>
          <w:rFonts w:asciiTheme="minorHAnsi" w:hAnsiTheme="minorHAnsi" w:cs="Arial"/>
          <w:sz w:val="18"/>
          <w:szCs w:val="18"/>
        </w:rPr>
        <w:footnoteRef/>
      </w:r>
      <w:r w:rsidRPr="00F016E4">
        <w:rPr>
          <w:rStyle w:val="FootnoteReference"/>
          <w:rFonts w:asciiTheme="minorHAnsi" w:hAnsiTheme="minorHAnsi" w:cs="Arial"/>
          <w:sz w:val="18"/>
          <w:szCs w:val="18"/>
        </w:rPr>
        <w:t xml:space="preserve"> </w:t>
      </w:r>
      <w:r w:rsidRPr="00F016E4">
        <w:rPr>
          <w:rFonts w:asciiTheme="minorHAnsi" w:hAnsiTheme="minorHAnsi" w:cs="Arial"/>
          <w:sz w:val="18"/>
          <w:szCs w:val="18"/>
        </w:rPr>
        <w:t xml:space="preserve">Women (1) who think that a female teacher with the AIDS virus should be allowed to teach in school, (2) who would buy fresh vegetables from a shopkeeper or vendor who has the AIDS virus, (3) who would not want to keep it as a secret if a family member became infected with the AIDS virus, and (4) who would be willing to care for a family member who became sick with the AIDS virus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E3B78"/>
    <w:multiLevelType w:val="hybridMultilevel"/>
    <w:tmpl w:val="8F8468CA"/>
    <w:lvl w:ilvl="0" w:tplc="0F4654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7B6482"/>
    <w:multiLevelType w:val="hybridMultilevel"/>
    <w:tmpl w:val="710A1666"/>
    <w:lvl w:ilvl="0" w:tplc="0F4654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A93D58"/>
    <w:multiLevelType w:val="hybridMultilevel"/>
    <w:tmpl w:val="77266754"/>
    <w:lvl w:ilvl="0" w:tplc="0F4654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7D7B3E"/>
    <w:multiLevelType w:val="hybridMultilevel"/>
    <w:tmpl w:val="94F63528"/>
    <w:lvl w:ilvl="0" w:tplc="A56CA0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B95BD2"/>
    <w:multiLevelType w:val="hybridMultilevel"/>
    <w:tmpl w:val="51440ECE"/>
    <w:lvl w:ilvl="0" w:tplc="A2F623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2F7FC5"/>
    <w:multiLevelType w:val="hybridMultilevel"/>
    <w:tmpl w:val="E45E7468"/>
    <w:lvl w:ilvl="0" w:tplc="F522BF2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B344FF"/>
    <w:multiLevelType w:val="hybridMultilevel"/>
    <w:tmpl w:val="97682056"/>
    <w:lvl w:ilvl="0" w:tplc="0F4654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DB581A"/>
    <w:multiLevelType w:val="hybridMultilevel"/>
    <w:tmpl w:val="E6E46BA0"/>
    <w:lvl w:ilvl="0" w:tplc="E7CE511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D66525C"/>
    <w:multiLevelType w:val="hybridMultilevel"/>
    <w:tmpl w:val="5156DC8E"/>
    <w:lvl w:ilvl="0" w:tplc="0F4654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5A76E9"/>
    <w:multiLevelType w:val="hybridMultilevel"/>
    <w:tmpl w:val="002ACC6C"/>
    <w:lvl w:ilvl="0" w:tplc="B830ABA8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6811F7"/>
    <w:multiLevelType w:val="hybridMultilevel"/>
    <w:tmpl w:val="6B08928E"/>
    <w:lvl w:ilvl="0" w:tplc="0F4654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59E1C26"/>
    <w:multiLevelType w:val="hybridMultilevel"/>
    <w:tmpl w:val="F5427C78"/>
    <w:lvl w:ilvl="0" w:tplc="9E9672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307240"/>
    <w:multiLevelType w:val="hybridMultilevel"/>
    <w:tmpl w:val="C090F35C"/>
    <w:lvl w:ilvl="0" w:tplc="0D1EABC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12"/>
  </w:num>
  <w:num w:numId="7">
    <w:abstractNumId w:val="8"/>
  </w:num>
  <w:num w:numId="8">
    <w:abstractNumId w:val="11"/>
  </w:num>
  <w:num w:numId="9">
    <w:abstractNumId w:val="6"/>
  </w:num>
  <w:num w:numId="10">
    <w:abstractNumId w:val="1"/>
  </w:num>
  <w:num w:numId="11">
    <w:abstractNumId w:val="2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urgay Unalan">
    <w15:presenceInfo w15:providerId="AD" w15:userId="S-1-5-21-889838981-920820592-1903951286-1348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F0D"/>
    <w:rsid w:val="00005713"/>
    <w:rsid w:val="000A456C"/>
    <w:rsid w:val="000E086D"/>
    <w:rsid w:val="00101030"/>
    <w:rsid w:val="00115386"/>
    <w:rsid w:val="001D4B09"/>
    <w:rsid w:val="00213081"/>
    <w:rsid w:val="0024487C"/>
    <w:rsid w:val="002D270B"/>
    <w:rsid w:val="002F6004"/>
    <w:rsid w:val="00332571"/>
    <w:rsid w:val="00381D63"/>
    <w:rsid w:val="003E22F7"/>
    <w:rsid w:val="003E600D"/>
    <w:rsid w:val="004528CB"/>
    <w:rsid w:val="00495CFA"/>
    <w:rsid w:val="004B4741"/>
    <w:rsid w:val="00521074"/>
    <w:rsid w:val="006106D1"/>
    <w:rsid w:val="00663944"/>
    <w:rsid w:val="00674489"/>
    <w:rsid w:val="00683A18"/>
    <w:rsid w:val="006F1CFC"/>
    <w:rsid w:val="006F37F3"/>
    <w:rsid w:val="007415DB"/>
    <w:rsid w:val="007C106E"/>
    <w:rsid w:val="008049E4"/>
    <w:rsid w:val="00882626"/>
    <w:rsid w:val="0093760E"/>
    <w:rsid w:val="00976838"/>
    <w:rsid w:val="009D16B2"/>
    <w:rsid w:val="009D53EA"/>
    <w:rsid w:val="00AB456A"/>
    <w:rsid w:val="00AB5525"/>
    <w:rsid w:val="00AE590E"/>
    <w:rsid w:val="00AE6F0D"/>
    <w:rsid w:val="00B2393A"/>
    <w:rsid w:val="00B34720"/>
    <w:rsid w:val="00B7225A"/>
    <w:rsid w:val="00B938BD"/>
    <w:rsid w:val="00BE01D0"/>
    <w:rsid w:val="00C54C54"/>
    <w:rsid w:val="00C96FB6"/>
    <w:rsid w:val="00D06BA0"/>
    <w:rsid w:val="00D97C31"/>
    <w:rsid w:val="00DA7C7D"/>
    <w:rsid w:val="00E40E81"/>
    <w:rsid w:val="00E65420"/>
    <w:rsid w:val="00EB18C3"/>
    <w:rsid w:val="00EB43D7"/>
    <w:rsid w:val="00EC327E"/>
    <w:rsid w:val="00EE6E1C"/>
    <w:rsid w:val="00F016E4"/>
    <w:rsid w:val="00F40E94"/>
    <w:rsid w:val="00F719AB"/>
    <w:rsid w:val="00FB53A8"/>
    <w:rsid w:val="00FC5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F0D"/>
    <w:rPr>
      <w:rFonts w:ascii="Times New Roman" w:eastAsia="Times New Roman" w:hAnsi="Times New Roman"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19AB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"/>
    <w:rsid w:val="00F719AB"/>
    <w:rPr>
      <w:rFonts w:ascii="Univers" w:hAnsi="Univers"/>
      <w:sz w:val="20"/>
    </w:rPr>
  </w:style>
  <w:style w:type="paragraph" w:styleId="FootnoteText">
    <w:name w:val="footnote text"/>
    <w:basedOn w:val="Normal"/>
    <w:link w:val="FootnoteTextChar"/>
    <w:semiHidden/>
    <w:rsid w:val="00F719A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719AB"/>
    <w:rPr>
      <w:rFonts w:ascii="Times New Roman" w:eastAsia="Times New Roman" w:hAnsi="Times New Roman"/>
      <w:lang w:val="en-US" w:eastAsia="en-US"/>
    </w:rPr>
  </w:style>
  <w:style w:type="character" w:styleId="FootnoteReference">
    <w:name w:val="footnote reference"/>
    <w:semiHidden/>
    <w:rsid w:val="00F719AB"/>
    <w:rPr>
      <w:vertAlign w:val="superscript"/>
    </w:rPr>
  </w:style>
  <w:style w:type="character" w:styleId="CommentReference">
    <w:name w:val="annotation reference"/>
    <w:uiPriority w:val="99"/>
    <w:rsid w:val="00F719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719A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19AB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719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19AB"/>
    <w:rPr>
      <w:rFonts w:ascii="Times New Roman" w:eastAsia="Times New Roman" w:hAnsi="Times New Roman"/>
      <w:b/>
      <w:bCs/>
      <w:lang w:val="en-US" w:eastAsia="en-US"/>
    </w:rPr>
  </w:style>
  <w:style w:type="paragraph" w:styleId="BalloonText">
    <w:name w:val="Balloon Text"/>
    <w:basedOn w:val="Normal"/>
    <w:link w:val="BalloonTextChar"/>
    <w:semiHidden/>
    <w:rsid w:val="00F719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719AB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F719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719AB"/>
    <w:rPr>
      <w:rFonts w:ascii="Times New Roman" w:eastAsia="Times New Roman" w:hAnsi="Times New Roman"/>
      <w:sz w:val="22"/>
      <w:lang w:val="en-US" w:eastAsia="en-US"/>
    </w:rPr>
  </w:style>
  <w:style w:type="paragraph" w:styleId="Footer">
    <w:name w:val="footer"/>
    <w:basedOn w:val="Normal"/>
    <w:link w:val="FooterChar"/>
    <w:uiPriority w:val="99"/>
    <w:rsid w:val="00F719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19AB"/>
    <w:rPr>
      <w:rFonts w:ascii="Times New Roman" w:eastAsia="Times New Roman" w:hAnsi="Times New Roman"/>
      <w:sz w:val="22"/>
      <w:lang w:val="en-US" w:eastAsia="en-US"/>
    </w:rPr>
  </w:style>
  <w:style w:type="character" w:styleId="PageNumber">
    <w:name w:val="page number"/>
    <w:basedOn w:val="DefaultParagraphFont"/>
    <w:rsid w:val="00F719AB"/>
  </w:style>
  <w:style w:type="paragraph" w:styleId="Revision">
    <w:name w:val="Revision"/>
    <w:hidden/>
    <w:uiPriority w:val="99"/>
    <w:semiHidden/>
    <w:rsid w:val="00F719AB"/>
    <w:rPr>
      <w:rFonts w:ascii="Times New Roman" w:eastAsia="Times New Roman" w:hAnsi="Times New Roman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719AB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qFormat/>
    <w:rsid w:val="00F719AB"/>
    <w:pPr>
      <w:ind w:left="720"/>
      <w:contextualSpacing/>
    </w:pPr>
  </w:style>
  <w:style w:type="character" w:styleId="Hyperlink">
    <w:name w:val="Hyperlink"/>
    <w:basedOn w:val="DefaultParagraphFont"/>
    <w:rsid w:val="00F719A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F719AB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rsid w:val="00F719A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F719AB"/>
    <w:rPr>
      <w:rFonts w:ascii="Times New Roman" w:eastAsia="Times New Roman" w:hAnsi="Times New Roman"/>
      <w:lang w:val="en-US" w:eastAsia="en-US"/>
    </w:rPr>
  </w:style>
  <w:style w:type="character" w:styleId="EndnoteReference">
    <w:name w:val="endnote reference"/>
    <w:basedOn w:val="DefaultParagraphFont"/>
    <w:rsid w:val="00F719A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gs.un.org/unsd/mdg/Host.aspx?Content=Indicators/OfficialLis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2959</Words>
  <Characters>16870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19790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UNICEF-MICS</dc:creator>
  <cp:lastModifiedBy>Rami Al-Dibs</cp:lastModifiedBy>
  <cp:revision>10</cp:revision>
  <dcterms:created xsi:type="dcterms:W3CDTF">2015-05-17T08:00:00Z</dcterms:created>
  <dcterms:modified xsi:type="dcterms:W3CDTF">2015-07-23T09:50:00Z</dcterms:modified>
</cp:coreProperties>
</file>